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4AA79" w14:textId="77777777" w:rsidR="00145DF5" w:rsidRPr="006B4F05" w:rsidRDefault="000D2153" w:rsidP="00145DF5">
      <w:pPr>
        <w:pStyle w:val="PlainText"/>
        <w:tabs>
          <w:tab w:val="left" w:pos="284"/>
        </w:tabs>
        <w:spacing w:line="300" w:lineRule="auto"/>
        <w:jc w:val="center"/>
        <w:rPr>
          <w:rFonts w:ascii="Times New Roman" w:hAnsi="Times New Roman"/>
          <w:b/>
          <w:sz w:val="28"/>
        </w:rPr>
      </w:pPr>
      <w:r w:rsidRPr="006B4F05">
        <w:rPr>
          <w:rFonts w:ascii="Times New Roman" w:hAnsi="Times New Roman"/>
          <w:b/>
          <w:noProof/>
          <w:sz w:val="28"/>
          <w:lang w:val="en-NZ"/>
        </w:rPr>
        <w:drawing>
          <wp:inline distT="0" distB="0" distL="0" distR="0" wp14:anchorId="4A9DD44F" wp14:editId="23E6C88C">
            <wp:extent cx="4648200" cy="1800225"/>
            <wp:effectExtent l="19050" t="0" r="0" b="0"/>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ik_Word_RGB_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48200" cy="1800225"/>
                    </a:xfrm>
                    <a:prstGeom prst="rect">
                      <a:avLst/>
                    </a:prstGeom>
                  </pic:spPr>
                </pic:pic>
              </a:graphicData>
            </a:graphic>
          </wp:inline>
        </w:drawing>
      </w:r>
    </w:p>
    <w:p w14:paraId="558CB494" w14:textId="77777777" w:rsidR="00145DF5" w:rsidRPr="006B4F05" w:rsidRDefault="00145DF5" w:rsidP="00145DF5">
      <w:pPr>
        <w:pStyle w:val="PlainText"/>
        <w:tabs>
          <w:tab w:val="left" w:pos="284"/>
        </w:tabs>
        <w:spacing w:line="300" w:lineRule="auto"/>
        <w:jc w:val="center"/>
        <w:rPr>
          <w:rFonts w:ascii="Times New Roman" w:hAnsi="Times New Roman"/>
          <w:b/>
          <w:sz w:val="28"/>
        </w:rPr>
      </w:pPr>
    </w:p>
    <w:p w14:paraId="11F87CB1" w14:textId="77777777" w:rsidR="000D2153" w:rsidRPr="006B4F05" w:rsidRDefault="000D2153" w:rsidP="00145DF5">
      <w:pPr>
        <w:pStyle w:val="PlainText"/>
        <w:tabs>
          <w:tab w:val="left" w:pos="284"/>
        </w:tabs>
        <w:spacing w:line="300" w:lineRule="auto"/>
        <w:jc w:val="center"/>
        <w:rPr>
          <w:rFonts w:ascii="Times New Roman" w:hAnsi="Times New Roman"/>
          <w:b/>
          <w:sz w:val="28"/>
        </w:rPr>
      </w:pPr>
    </w:p>
    <w:p w14:paraId="04D44D80" w14:textId="77777777" w:rsidR="00145DF5" w:rsidRPr="006B4F05" w:rsidRDefault="00145DF5" w:rsidP="000D2153">
      <w:pPr>
        <w:pStyle w:val="PlainText"/>
        <w:pBdr>
          <w:top w:val="thinThickSmallGap" w:sz="24" w:space="1" w:color="auto"/>
          <w:left w:val="thinThickSmallGap" w:sz="24" w:space="4" w:color="auto"/>
          <w:bottom w:val="thickThinSmallGap" w:sz="24" w:space="1" w:color="auto"/>
          <w:right w:val="thickThinSmallGap" w:sz="24" w:space="4" w:color="auto"/>
        </w:pBdr>
        <w:shd w:val="clear" w:color="auto" w:fill="D9D9D9" w:themeFill="background1" w:themeFillShade="D9"/>
        <w:tabs>
          <w:tab w:val="left" w:pos="284"/>
        </w:tabs>
        <w:spacing w:line="300" w:lineRule="auto"/>
        <w:jc w:val="center"/>
        <w:rPr>
          <w:rFonts w:ascii="Times New Roman" w:hAnsi="Times New Roman"/>
          <w:b/>
          <w:sz w:val="32"/>
          <w:szCs w:val="32"/>
        </w:rPr>
      </w:pPr>
    </w:p>
    <w:p w14:paraId="5FADC7A5" w14:textId="77777777" w:rsidR="00145DF5" w:rsidRPr="006B4F05" w:rsidRDefault="00A75DBA" w:rsidP="000D2153">
      <w:pPr>
        <w:pStyle w:val="PlainText"/>
        <w:pBdr>
          <w:top w:val="thinThickSmallGap" w:sz="24" w:space="1" w:color="auto"/>
          <w:left w:val="thinThickSmallGap" w:sz="24" w:space="4" w:color="auto"/>
          <w:bottom w:val="thickThinSmallGap" w:sz="24" w:space="1" w:color="auto"/>
          <w:right w:val="thickThinSmallGap" w:sz="24" w:space="4" w:color="auto"/>
        </w:pBdr>
        <w:shd w:val="clear" w:color="auto" w:fill="D9D9D9" w:themeFill="background1" w:themeFillShade="D9"/>
        <w:tabs>
          <w:tab w:val="left" w:pos="284"/>
        </w:tabs>
        <w:jc w:val="center"/>
        <w:rPr>
          <w:rFonts w:ascii="Times New Roman" w:hAnsi="Times New Roman" w:cs="Times New Roman"/>
          <w:b/>
          <w:sz w:val="32"/>
          <w:szCs w:val="32"/>
        </w:rPr>
      </w:pPr>
      <w:r>
        <w:rPr>
          <w:rFonts w:ascii="Times New Roman" w:hAnsi="Times New Roman" w:cs="Times New Roman"/>
          <w:b/>
          <w:sz w:val="32"/>
          <w:szCs w:val="32"/>
        </w:rPr>
        <w:t>2018-base</w:t>
      </w:r>
      <w:r w:rsidR="00DE37D1">
        <w:rPr>
          <w:rFonts w:ascii="Times New Roman" w:hAnsi="Times New Roman" w:cs="Times New Roman"/>
          <w:b/>
          <w:sz w:val="32"/>
          <w:szCs w:val="32"/>
        </w:rPr>
        <w:t xml:space="preserve"> </w:t>
      </w:r>
      <w:r w:rsidR="000D2153" w:rsidRPr="006B4F05">
        <w:rPr>
          <w:rFonts w:ascii="Times New Roman" w:hAnsi="Times New Roman" w:cs="Times New Roman"/>
          <w:b/>
          <w:sz w:val="32"/>
          <w:szCs w:val="32"/>
        </w:rPr>
        <w:t xml:space="preserve">Population, </w:t>
      </w:r>
      <w:r w:rsidR="00256A89" w:rsidRPr="006B4F05">
        <w:rPr>
          <w:rFonts w:ascii="Times New Roman" w:hAnsi="Times New Roman" w:cs="Times New Roman"/>
          <w:b/>
          <w:sz w:val="32"/>
          <w:szCs w:val="32"/>
        </w:rPr>
        <w:t xml:space="preserve">Family and </w:t>
      </w:r>
      <w:r w:rsidR="000D2153" w:rsidRPr="006B4F05">
        <w:rPr>
          <w:rFonts w:ascii="Times New Roman" w:hAnsi="Times New Roman" w:cs="Times New Roman"/>
          <w:b/>
          <w:sz w:val="32"/>
          <w:szCs w:val="32"/>
        </w:rPr>
        <w:t>Household</w:t>
      </w:r>
      <w:r w:rsidR="00256A89" w:rsidRPr="006B4F05">
        <w:rPr>
          <w:rFonts w:ascii="Times New Roman" w:hAnsi="Times New Roman" w:cs="Times New Roman"/>
          <w:b/>
          <w:sz w:val="32"/>
          <w:szCs w:val="32"/>
        </w:rPr>
        <w:t>,</w:t>
      </w:r>
      <w:r w:rsidR="00256A89" w:rsidRPr="006B4F05">
        <w:rPr>
          <w:rFonts w:ascii="Times New Roman" w:hAnsi="Times New Roman" w:cs="Times New Roman"/>
          <w:b/>
          <w:sz w:val="32"/>
          <w:szCs w:val="32"/>
        </w:rPr>
        <w:br/>
      </w:r>
      <w:r w:rsidR="000D2153" w:rsidRPr="006B4F05">
        <w:rPr>
          <w:rFonts w:ascii="Times New Roman" w:hAnsi="Times New Roman" w:cs="Times New Roman"/>
          <w:b/>
          <w:sz w:val="32"/>
          <w:szCs w:val="32"/>
        </w:rPr>
        <w:t xml:space="preserve">and </w:t>
      </w:r>
      <w:proofErr w:type="spellStart"/>
      <w:r w:rsidR="000D2153" w:rsidRPr="006B4F05">
        <w:rPr>
          <w:rFonts w:ascii="Times New Roman" w:hAnsi="Times New Roman" w:cs="Times New Roman"/>
          <w:b/>
          <w:sz w:val="32"/>
          <w:szCs w:val="32"/>
        </w:rPr>
        <w:t>Labour</w:t>
      </w:r>
      <w:proofErr w:type="spellEnd"/>
      <w:r w:rsidR="000D2153" w:rsidRPr="006B4F05">
        <w:rPr>
          <w:rFonts w:ascii="Times New Roman" w:hAnsi="Times New Roman" w:cs="Times New Roman"/>
          <w:b/>
          <w:sz w:val="32"/>
          <w:szCs w:val="32"/>
        </w:rPr>
        <w:t xml:space="preserve"> Force Projections</w:t>
      </w:r>
    </w:p>
    <w:p w14:paraId="28D0DBDC" w14:textId="77777777" w:rsidR="000D2153" w:rsidRPr="006B4F05" w:rsidRDefault="000D2153" w:rsidP="00A75DBA">
      <w:pPr>
        <w:pStyle w:val="PlainText"/>
        <w:pBdr>
          <w:top w:val="thinThickSmallGap" w:sz="24" w:space="1" w:color="auto"/>
          <w:left w:val="thinThickSmallGap" w:sz="24" w:space="4" w:color="auto"/>
          <w:bottom w:val="thickThinSmallGap" w:sz="24" w:space="1" w:color="auto"/>
          <w:right w:val="thickThinSmallGap" w:sz="24" w:space="4" w:color="auto"/>
        </w:pBdr>
        <w:shd w:val="clear" w:color="auto" w:fill="D9D9D9" w:themeFill="background1" w:themeFillShade="D9"/>
        <w:tabs>
          <w:tab w:val="left" w:pos="284"/>
        </w:tabs>
        <w:jc w:val="center"/>
        <w:rPr>
          <w:rFonts w:ascii="Times New Roman" w:hAnsi="Times New Roman" w:cs="Times New Roman"/>
          <w:b/>
          <w:sz w:val="32"/>
          <w:szCs w:val="32"/>
        </w:rPr>
      </w:pPr>
      <w:r w:rsidRPr="006B4F05">
        <w:rPr>
          <w:rFonts w:ascii="Times New Roman" w:hAnsi="Times New Roman" w:cs="Times New Roman"/>
          <w:b/>
          <w:sz w:val="32"/>
          <w:szCs w:val="32"/>
        </w:rPr>
        <w:t xml:space="preserve">for the Waikato Region, </w:t>
      </w:r>
      <w:r w:rsidR="00A75DBA">
        <w:rPr>
          <w:rFonts w:ascii="Times New Roman" w:hAnsi="Times New Roman" w:cs="Times New Roman"/>
          <w:b/>
          <w:sz w:val="32"/>
          <w:szCs w:val="32"/>
        </w:rPr>
        <w:t>2018-2068</w:t>
      </w:r>
    </w:p>
    <w:p w14:paraId="6F8F555F" w14:textId="77777777" w:rsidR="00145DF5" w:rsidRPr="006B4F05" w:rsidRDefault="00145DF5" w:rsidP="000D2153">
      <w:pPr>
        <w:pStyle w:val="PlainText"/>
        <w:pBdr>
          <w:top w:val="thinThickSmallGap" w:sz="24" w:space="1" w:color="auto"/>
          <w:left w:val="thinThickSmallGap" w:sz="24" w:space="4" w:color="auto"/>
          <w:bottom w:val="thickThinSmallGap" w:sz="24" w:space="1" w:color="auto"/>
          <w:right w:val="thickThinSmallGap" w:sz="24" w:space="4" w:color="auto"/>
        </w:pBdr>
        <w:shd w:val="clear" w:color="auto" w:fill="D9D9D9" w:themeFill="background1" w:themeFillShade="D9"/>
        <w:tabs>
          <w:tab w:val="left" w:pos="284"/>
        </w:tabs>
        <w:jc w:val="center"/>
        <w:rPr>
          <w:rFonts w:ascii="Times New Roman" w:hAnsi="Times New Roman"/>
          <w:bCs/>
          <w:sz w:val="32"/>
          <w:szCs w:val="32"/>
          <w:lang w:val="en-NZ"/>
        </w:rPr>
      </w:pPr>
    </w:p>
    <w:p w14:paraId="68CAFE2B" w14:textId="77777777" w:rsidR="004D688E" w:rsidRPr="006B4F05" w:rsidRDefault="004D688E" w:rsidP="000D2153">
      <w:pPr>
        <w:pStyle w:val="PlainText"/>
        <w:pBdr>
          <w:top w:val="thinThickSmallGap" w:sz="24" w:space="1" w:color="auto"/>
          <w:left w:val="thinThickSmallGap" w:sz="24" w:space="4" w:color="auto"/>
          <w:bottom w:val="thickThinSmallGap" w:sz="24" w:space="1" w:color="auto"/>
          <w:right w:val="thickThinSmallGap" w:sz="24" w:space="4" w:color="auto"/>
        </w:pBdr>
        <w:shd w:val="clear" w:color="auto" w:fill="D9D9D9" w:themeFill="background1" w:themeFillShade="D9"/>
        <w:tabs>
          <w:tab w:val="left" w:pos="284"/>
        </w:tabs>
        <w:jc w:val="center"/>
        <w:rPr>
          <w:rFonts w:ascii="Times New Roman" w:hAnsi="Times New Roman"/>
          <w:bCs/>
          <w:sz w:val="32"/>
          <w:szCs w:val="32"/>
          <w:lang w:val="en-NZ"/>
        </w:rPr>
      </w:pPr>
    </w:p>
    <w:p w14:paraId="4E859DBF" w14:textId="77777777" w:rsidR="00145DF5" w:rsidRPr="006B4F05" w:rsidRDefault="00145DF5" w:rsidP="000D2153">
      <w:pPr>
        <w:pStyle w:val="PlainText"/>
        <w:pBdr>
          <w:top w:val="thinThickSmallGap" w:sz="24" w:space="1" w:color="auto"/>
          <w:left w:val="thinThickSmallGap" w:sz="24" w:space="4" w:color="auto"/>
          <w:bottom w:val="thickThinSmallGap" w:sz="24" w:space="1" w:color="auto"/>
          <w:right w:val="thickThinSmallGap" w:sz="24" w:space="4" w:color="auto"/>
        </w:pBdr>
        <w:shd w:val="clear" w:color="auto" w:fill="D9D9D9" w:themeFill="background1" w:themeFillShade="D9"/>
        <w:tabs>
          <w:tab w:val="left" w:pos="284"/>
        </w:tabs>
        <w:jc w:val="center"/>
        <w:rPr>
          <w:rFonts w:ascii="Times New Roman" w:hAnsi="Times New Roman" w:cs="Times New Roman"/>
          <w:bCs/>
          <w:sz w:val="32"/>
          <w:szCs w:val="32"/>
        </w:rPr>
      </w:pPr>
      <w:r w:rsidRPr="006B4F05">
        <w:rPr>
          <w:rFonts w:ascii="Times New Roman" w:hAnsi="Times New Roman" w:cs="Times New Roman"/>
          <w:bCs/>
          <w:sz w:val="32"/>
          <w:szCs w:val="32"/>
        </w:rPr>
        <w:t>Michael P. Cameron</w:t>
      </w:r>
      <w:r w:rsidR="000D2153" w:rsidRPr="006B4F05">
        <w:rPr>
          <w:rFonts w:ascii="Times New Roman" w:hAnsi="Times New Roman" w:cs="Times New Roman"/>
          <w:bCs/>
          <w:sz w:val="32"/>
          <w:szCs w:val="32"/>
        </w:rPr>
        <w:t xml:space="preserve"> </w:t>
      </w:r>
      <w:proofErr w:type="spellStart"/>
      <w:proofErr w:type="gramStart"/>
      <w:r w:rsidRPr="006B4F05">
        <w:rPr>
          <w:rFonts w:ascii="Times New Roman" w:hAnsi="Times New Roman" w:cs="Times New Roman"/>
          <w:bCs/>
          <w:sz w:val="32"/>
          <w:szCs w:val="32"/>
          <w:vertAlign w:val="superscript"/>
        </w:rPr>
        <w:t>a,b</w:t>
      </w:r>
      <w:proofErr w:type="spellEnd"/>
      <w:proofErr w:type="gramEnd"/>
    </w:p>
    <w:p w14:paraId="77019854" w14:textId="77777777" w:rsidR="000D2153" w:rsidRPr="006B4F05" w:rsidRDefault="000D2153" w:rsidP="000D2153">
      <w:pPr>
        <w:pStyle w:val="PlainText"/>
        <w:pBdr>
          <w:top w:val="thinThickSmallGap" w:sz="24" w:space="1" w:color="auto"/>
          <w:left w:val="thinThickSmallGap" w:sz="24" w:space="4" w:color="auto"/>
          <w:bottom w:val="thickThinSmallGap" w:sz="24" w:space="1" w:color="auto"/>
          <w:right w:val="thickThinSmallGap" w:sz="24" w:space="4" w:color="auto"/>
        </w:pBdr>
        <w:shd w:val="clear" w:color="auto" w:fill="D9D9D9" w:themeFill="background1" w:themeFillShade="D9"/>
        <w:tabs>
          <w:tab w:val="left" w:pos="284"/>
        </w:tabs>
        <w:jc w:val="center"/>
        <w:rPr>
          <w:rFonts w:ascii="Times New Roman" w:hAnsi="Times New Roman" w:cs="Times New Roman"/>
          <w:bCs/>
          <w:sz w:val="32"/>
          <w:szCs w:val="32"/>
        </w:rPr>
      </w:pPr>
    </w:p>
    <w:p w14:paraId="133DB698" w14:textId="77777777" w:rsidR="000D2153" w:rsidRPr="006B4F05" w:rsidRDefault="000D2153" w:rsidP="000D2153">
      <w:pPr>
        <w:pStyle w:val="PlainText"/>
        <w:pBdr>
          <w:top w:val="thinThickSmallGap" w:sz="24" w:space="1" w:color="auto"/>
          <w:left w:val="thinThickSmallGap" w:sz="24" w:space="4" w:color="auto"/>
          <w:bottom w:val="thickThinSmallGap" w:sz="24" w:space="1" w:color="auto"/>
          <w:right w:val="thickThinSmallGap" w:sz="24" w:space="4" w:color="auto"/>
        </w:pBdr>
        <w:shd w:val="clear" w:color="auto" w:fill="D9D9D9" w:themeFill="background1" w:themeFillShade="D9"/>
        <w:tabs>
          <w:tab w:val="left" w:pos="284"/>
        </w:tabs>
        <w:jc w:val="center"/>
        <w:rPr>
          <w:rFonts w:ascii="Times New Roman" w:hAnsi="Times New Roman" w:cs="Times New Roman"/>
          <w:bCs/>
          <w:sz w:val="32"/>
          <w:szCs w:val="32"/>
        </w:rPr>
      </w:pPr>
      <w:r w:rsidRPr="006B4F05">
        <w:rPr>
          <w:rFonts w:ascii="Times New Roman" w:hAnsi="Times New Roman" w:cs="Times New Roman"/>
          <w:bCs/>
          <w:sz w:val="32"/>
          <w:szCs w:val="32"/>
        </w:rPr>
        <w:t xml:space="preserve">William Cochrane </w:t>
      </w:r>
      <w:proofErr w:type="spellStart"/>
      <w:proofErr w:type="gramStart"/>
      <w:r w:rsidRPr="006B4F05">
        <w:rPr>
          <w:rFonts w:ascii="Times New Roman" w:hAnsi="Times New Roman" w:cs="Times New Roman"/>
          <w:bCs/>
          <w:sz w:val="32"/>
          <w:szCs w:val="32"/>
          <w:vertAlign w:val="superscript"/>
        </w:rPr>
        <w:t>b,c</w:t>
      </w:r>
      <w:proofErr w:type="spellEnd"/>
      <w:proofErr w:type="gramEnd"/>
    </w:p>
    <w:p w14:paraId="4192A43C" w14:textId="77777777" w:rsidR="00145DF5" w:rsidRPr="006B4F05" w:rsidRDefault="00145DF5" w:rsidP="000D2153">
      <w:pPr>
        <w:pStyle w:val="PlainText"/>
        <w:pBdr>
          <w:top w:val="thinThickSmallGap" w:sz="24" w:space="1" w:color="auto"/>
          <w:left w:val="thinThickSmallGap" w:sz="24" w:space="4" w:color="auto"/>
          <w:bottom w:val="thickThinSmallGap" w:sz="24" w:space="1" w:color="auto"/>
          <w:right w:val="thickThinSmallGap" w:sz="24" w:space="4" w:color="auto"/>
        </w:pBdr>
        <w:shd w:val="clear" w:color="auto" w:fill="D9D9D9" w:themeFill="background1" w:themeFillShade="D9"/>
        <w:tabs>
          <w:tab w:val="left" w:pos="284"/>
        </w:tabs>
        <w:jc w:val="center"/>
        <w:rPr>
          <w:rFonts w:ascii="Times New Roman" w:hAnsi="Times New Roman" w:cs="Times New Roman"/>
          <w:bCs/>
          <w:i/>
          <w:iCs/>
          <w:sz w:val="32"/>
          <w:szCs w:val="32"/>
        </w:rPr>
      </w:pPr>
    </w:p>
    <w:p w14:paraId="31B3626C" w14:textId="77777777" w:rsidR="00145DF5" w:rsidRPr="006B4F05" w:rsidRDefault="00145DF5" w:rsidP="000D2153">
      <w:pPr>
        <w:pStyle w:val="PlainText"/>
        <w:pBdr>
          <w:top w:val="thinThickSmallGap" w:sz="24" w:space="1" w:color="auto"/>
          <w:left w:val="thinThickSmallGap" w:sz="24" w:space="4" w:color="auto"/>
          <w:bottom w:val="thickThinSmallGap" w:sz="24" w:space="1" w:color="auto"/>
          <w:right w:val="thickThinSmallGap" w:sz="24" w:space="4" w:color="auto"/>
        </w:pBdr>
        <w:shd w:val="clear" w:color="auto" w:fill="D9D9D9" w:themeFill="background1" w:themeFillShade="D9"/>
        <w:tabs>
          <w:tab w:val="left" w:pos="284"/>
        </w:tabs>
        <w:jc w:val="center"/>
        <w:rPr>
          <w:rFonts w:ascii="Times New Roman" w:hAnsi="Times New Roman" w:cs="Times New Roman"/>
          <w:bCs/>
          <w:i/>
          <w:iCs/>
          <w:sz w:val="32"/>
          <w:szCs w:val="32"/>
        </w:rPr>
      </w:pPr>
    </w:p>
    <w:p w14:paraId="49D38DCB" w14:textId="77777777" w:rsidR="00145DF5" w:rsidRPr="006B4F05" w:rsidRDefault="00145DF5" w:rsidP="00A75DBA">
      <w:pPr>
        <w:pStyle w:val="PlainText"/>
        <w:pBdr>
          <w:top w:val="thinThickSmallGap" w:sz="24" w:space="1" w:color="auto"/>
          <w:left w:val="thinThickSmallGap" w:sz="24" w:space="4" w:color="auto"/>
          <w:bottom w:val="thickThinSmallGap" w:sz="24" w:space="1" w:color="auto"/>
          <w:right w:val="thickThinSmallGap" w:sz="24" w:space="4" w:color="auto"/>
        </w:pBdr>
        <w:shd w:val="clear" w:color="auto" w:fill="D9D9D9" w:themeFill="background1" w:themeFillShade="D9"/>
        <w:tabs>
          <w:tab w:val="left" w:pos="284"/>
        </w:tabs>
        <w:spacing w:line="360" w:lineRule="auto"/>
        <w:jc w:val="center"/>
        <w:rPr>
          <w:rFonts w:ascii="Times New Roman" w:hAnsi="Times New Roman" w:cs="Times New Roman"/>
          <w:bCs/>
          <w:sz w:val="24"/>
          <w:szCs w:val="24"/>
        </w:rPr>
      </w:pPr>
      <w:r w:rsidRPr="006B4F05">
        <w:rPr>
          <w:rFonts w:ascii="Times New Roman" w:hAnsi="Times New Roman" w:cs="Times New Roman"/>
          <w:bCs/>
          <w:sz w:val="24"/>
          <w:szCs w:val="24"/>
          <w:vertAlign w:val="superscript"/>
          <w:lang w:val="en-NZ"/>
        </w:rPr>
        <w:t>a</w:t>
      </w:r>
      <w:r w:rsidR="00FD4688" w:rsidRPr="006B4F05">
        <w:rPr>
          <w:rFonts w:ascii="Times New Roman" w:hAnsi="Times New Roman" w:cs="Times New Roman"/>
          <w:bCs/>
          <w:sz w:val="24"/>
          <w:szCs w:val="24"/>
          <w:vertAlign w:val="superscript"/>
          <w:lang w:val="en-NZ"/>
        </w:rPr>
        <w:t xml:space="preserve"> </w:t>
      </w:r>
      <w:r w:rsidR="00A75DBA">
        <w:rPr>
          <w:rFonts w:ascii="Times New Roman" w:hAnsi="Times New Roman" w:cs="Times New Roman"/>
          <w:bCs/>
          <w:sz w:val="24"/>
          <w:szCs w:val="24"/>
          <w:lang w:val="en-NZ"/>
        </w:rPr>
        <w:t>School of Accounting, Finance and Economics</w:t>
      </w:r>
      <w:r w:rsidR="00313D84" w:rsidRPr="006B4F05">
        <w:rPr>
          <w:rFonts w:ascii="Times New Roman" w:hAnsi="Times New Roman" w:cs="Times New Roman"/>
          <w:bCs/>
          <w:sz w:val="24"/>
          <w:szCs w:val="24"/>
          <w:lang w:val="en-NZ"/>
        </w:rPr>
        <w:t>, University of Waikato</w:t>
      </w:r>
    </w:p>
    <w:p w14:paraId="53F3864D" w14:textId="77777777" w:rsidR="00145DF5" w:rsidRPr="006B4F05" w:rsidRDefault="00145DF5" w:rsidP="000D2153">
      <w:pPr>
        <w:pStyle w:val="PlainText"/>
        <w:pBdr>
          <w:top w:val="thinThickSmallGap" w:sz="24" w:space="1" w:color="auto"/>
          <w:left w:val="thinThickSmallGap" w:sz="24" w:space="4" w:color="auto"/>
          <w:bottom w:val="thickThinSmallGap" w:sz="24" w:space="1" w:color="auto"/>
          <w:right w:val="thickThinSmallGap" w:sz="24" w:space="4" w:color="auto"/>
        </w:pBdr>
        <w:shd w:val="clear" w:color="auto" w:fill="D9D9D9" w:themeFill="background1" w:themeFillShade="D9"/>
        <w:tabs>
          <w:tab w:val="left" w:pos="284"/>
        </w:tabs>
        <w:spacing w:line="360" w:lineRule="auto"/>
        <w:jc w:val="center"/>
        <w:rPr>
          <w:rFonts w:ascii="Times New Roman" w:hAnsi="Times New Roman" w:cs="Times New Roman"/>
          <w:sz w:val="24"/>
          <w:szCs w:val="24"/>
        </w:rPr>
      </w:pPr>
      <w:r w:rsidRPr="006B4F05">
        <w:rPr>
          <w:rFonts w:ascii="Times New Roman" w:hAnsi="Times New Roman" w:cs="Times New Roman"/>
          <w:bCs/>
          <w:sz w:val="24"/>
          <w:szCs w:val="24"/>
          <w:vertAlign w:val="superscript"/>
          <w:lang w:val="en-NZ"/>
        </w:rPr>
        <w:t>b</w:t>
      </w:r>
      <w:r w:rsidR="00FD4688" w:rsidRPr="006B4F05">
        <w:rPr>
          <w:rFonts w:ascii="Times New Roman" w:hAnsi="Times New Roman" w:cs="Times New Roman"/>
          <w:bCs/>
          <w:sz w:val="24"/>
          <w:szCs w:val="24"/>
          <w:vertAlign w:val="superscript"/>
          <w:lang w:val="en-NZ"/>
        </w:rPr>
        <w:t xml:space="preserve"> </w:t>
      </w:r>
      <w:r w:rsidRPr="006B4F05">
        <w:rPr>
          <w:rFonts w:ascii="Times New Roman" w:hAnsi="Times New Roman" w:cs="Times New Roman"/>
          <w:sz w:val="24"/>
          <w:szCs w:val="24"/>
        </w:rPr>
        <w:t>National Institute of Demographic and Economic Analysis, University of Waikato</w:t>
      </w:r>
    </w:p>
    <w:p w14:paraId="407424D8" w14:textId="77777777" w:rsidR="000D2153" w:rsidRPr="006B4F05" w:rsidRDefault="000D2153" w:rsidP="00A75DBA">
      <w:pPr>
        <w:pStyle w:val="PlainText"/>
        <w:pBdr>
          <w:top w:val="thinThickSmallGap" w:sz="24" w:space="1" w:color="auto"/>
          <w:left w:val="thinThickSmallGap" w:sz="24" w:space="4" w:color="auto"/>
          <w:bottom w:val="thickThinSmallGap" w:sz="24" w:space="1" w:color="auto"/>
          <w:right w:val="thickThinSmallGap" w:sz="24" w:space="4" w:color="auto"/>
        </w:pBdr>
        <w:shd w:val="clear" w:color="auto" w:fill="D9D9D9" w:themeFill="background1" w:themeFillShade="D9"/>
        <w:tabs>
          <w:tab w:val="left" w:pos="284"/>
        </w:tabs>
        <w:spacing w:line="360" w:lineRule="auto"/>
        <w:jc w:val="center"/>
        <w:rPr>
          <w:rFonts w:ascii="Times New Roman" w:hAnsi="Times New Roman" w:cs="Times New Roman"/>
          <w:bCs/>
          <w:sz w:val="24"/>
          <w:szCs w:val="24"/>
          <w:lang w:val="en-NZ"/>
        </w:rPr>
      </w:pPr>
      <w:r w:rsidRPr="006B4F05">
        <w:rPr>
          <w:rFonts w:ascii="Times New Roman" w:hAnsi="Times New Roman" w:cs="Times New Roman"/>
          <w:bCs/>
          <w:sz w:val="24"/>
          <w:szCs w:val="24"/>
          <w:vertAlign w:val="superscript"/>
          <w:lang w:val="en-NZ"/>
        </w:rPr>
        <w:t xml:space="preserve">c </w:t>
      </w:r>
      <w:r w:rsidR="00A75DBA">
        <w:rPr>
          <w:rFonts w:ascii="Times New Roman" w:hAnsi="Times New Roman" w:cs="Times New Roman"/>
          <w:sz w:val="24"/>
          <w:szCs w:val="24"/>
        </w:rPr>
        <w:t>School of</w:t>
      </w:r>
      <w:r w:rsidRPr="006B4F05">
        <w:rPr>
          <w:rFonts w:ascii="Times New Roman" w:hAnsi="Times New Roman" w:cs="Times New Roman"/>
          <w:sz w:val="24"/>
          <w:szCs w:val="24"/>
        </w:rPr>
        <w:t xml:space="preserve"> Social Sciences, University of Waikato</w:t>
      </w:r>
    </w:p>
    <w:p w14:paraId="42B64963" w14:textId="77777777" w:rsidR="00145DF5" w:rsidRPr="006B4F05" w:rsidRDefault="00145DF5" w:rsidP="00145DF5">
      <w:pPr>
        <w:pStyle w:val="PlainText"/>
        <w:tabs>
          <w:tab w:val="left" w:pos="284"/>
        </w:tabs>
        <w:jc w:val="both"/>
        <w:rPr>
          <w:rFonts w:ascii="Times New Roman" w:hAnsi="Times New Roman"/>
          <w:b/>
        </w:rPr>
      </w:pPr>
    </w:p>
    <w:p w14:paraId="662A296A" w14:textId="77777777" w:rsidR="007C7F57" w:rsidRPr="006B4F05" w:rsidRDefault="007C7F57" w:rsidP="00145DF5">
      <w:pPr>
        <w:pStyle w:val="PlainText"/>
        <w:tabs>
          <w:tab w:val="left" w:pos="284"/>
        </w:tabs>
        <w:jc w:val="both"/>
        <w:rPr>
          <w:rFonts w:ascii="Times New Roman" w:hAnsi="Times New Roman"/>
          <w:b/>
        </w:rPr>
      </w:pPr>
    </w:p>
    <w:p w14:paraId="7A83A829" w14:textId="77777777" w:rsidR="00145DF5" w:rsidRPr="006B4F05" w:rsidRDefault="00145DF5" w:rsidP="00145DF5">
      <w:pPr>
        <w:pStyle w:val="PlainText"/>
        <w:tabs>
          <w:tab w:val="left" w:pos="284"/>
        </w:tabs>
        <w:jc w:val="center"/>
        <w:rPr>
          <w:rFonts w:ascii="Times New Roman" w:hAnsi="Times New Roman"/>
          <w:b/>
          <w:bCs/>
          <w:sz w:val="32"/>
          <w:szCs w:val="32"/>
        </w:rPr>
      </w:pPr>
    </w:p>
    <w:p w14:paraId="27D7393D" w14:textId="77777777" w:rsidR="000D2153" w:rsidRPr="006B4F05" w:rsidRDefault="000D2153" w:rsidP="00145DF5">
      <w:pPr>
        <w:pStyle w:val="PlainText"/>
        <w:tabs>
          <w:tab w:val="left" w:pos="284"/>
        </w:tabs>
        <w:jc w:val="center"/>
        <w:rPr>
          <w:rFonts w:ascii="Times New Roman" w:hAnsi="Times New Roman"/>
          <w:b/>
          <w:bCs/>
          <w:sz w:val="32"/>
          <w:szCs w:val="32"/>
        </w:rPr>
      </w:pPr>
    </w:p>
    <w:p w14:paraId="06BB94E2" w14:textId="77777777" w:rsidR="000D2153" w:rsidRDefault="000D2153" w:rsidP="00145DF5">
      <w:pPr>
        <w:pStyle w:val="PlainText"/>
        <w:tabs>
          <w:tab w:val="left" w:pos="284"/>
        </w:tabs>
        <w:jc w:val="center"/>
        <w:rPr>
          <w:rFonts w:ascii="Times New Roman" w:hAnsi="Times New Roman"/>
          <w:b/>
          <w:bCs/>
          <w:sz w:val="32"/>
          <w:szCs w:val="32"/>
        </w:rPr>
      </w:pPr>
      <w:r w:rsidRPr="006B4F05">
        <w:rPr>
          <w:rFonts w:ascii="Times New Roman" w:hAnsi="Times New Roman"/>
          <w:b/>
          <w:bCs/>
          <w:sz w:val="32"/>
          <w:szCs w:val="32"/>
        </w:rPr>
        <w:t>Commissioned Research Report</w:t>
      </w:r>
    </w:p>
    <w:p w14:paraId="654B4CA9" w14:textId="77777777" w:rsidR="00C90F17" w:rsidRDefault="00C90F17" w:rsidP="00145DF5">
      <w:pPr>
        <w:pStyle w:val="PlainText"/>
        <w:tabs>
          <w:tab w:val="left" w:pos="284"/>
        </w:tabs>
        <w:jc w:val="center"/>
        <w:rPr>
          <w:rFonts w:ascii="Times New Roman" w:hAnsi="Times New Roman"/>
          <w:b/>
          <w:bCs/>
          <w:sz w:val="32"/>
          <w:szCs w:val="32"/>
        </w:rPr>
      </w:pPr>
    </w:p>
    <w:p w14:paraId="14C8CFD5" w14:textId="77777777" w:rsidR="00C90F17" w:rsidRPr="006B4F05" w:rsidRDefault="00C90F17" w:rsidP="00145DF5">
      <w:pPr>
        <w:pStyle w:val="PlainText"/>
        <w:tabs>
          <w:tab w:val="left" w:pos="284"/>
        </w:tabs>
        <w:jc w:val="center"/>
        <w:rPr>
          <w:rFonts w:ascii="Times New Roman" w:hAnsi="Times New Roman"/>
          <w:b/>
          <w:bCs/>
          <w:sz w:val="32"/>
          <w:szCs w:val="32"/>
        </w:rPr>
      </w:pPr>
      <w:r>
        <w:rPr>
          <w:rFonts w:ascii="Times New Roman" w:hAnsi="Times New Roman"/>
          <w:b/>
          <w:bCs/>
          <w:sz w:val="32"/>
          <w:szCs w:val="32"/>
        </w:rPr>
        <w:t>Methods and Assumptions Draft</w:t>
      </w:r>
    </w:p>
    <w:p w14:paraId="76D9C916" w14:textId="77777777" w:rsidR="00145DF5" w:rsidRPr="006B4F05" w:rsidRDefault="000D2153" w:rsidP="00A75DBA">
      <w:pPr>
        <w:pStyle w:val="PlainText"/>
        <w:tabs>
          <w:tab w:val="left" w:pos="284"/>
        </w:tabs>
        <w:jc w:val="center"/>
        <w:rPr>
          <w:rFonts w:ascii="Times New Roman" w:hAnsi="Times New Roman"/>
          <w:b/>
          <w:bCs/>
          <w:sz w:val="32"/>
          <w:szCs w:val="32"/>
        </w:rPr>
      </w:pPr>
      <w:r w:rsidRPr="006B4F05">
        <w:rPr>
          <w:rFonts w:ascii="Times New Roman" w:hAnsi="Times New Roman"/>
          <w:b/>
          <w:bCs/>
          <w:sz w:val="32"/>
          <w:szCs w:val="32"/>
        </w:rPr>
        <w:br/>
        <w:t xml:space="preserve">Prepared for </w:t>
      </w:r>
      <w:r w:rsidR="00A75DBA">
        <w:rPr>
          <w:rFonts w:ascii="Times New Roman" w:hAnsi="Times New Roman"/>
          <w:b/>
          <w:bCs/>
          <w:sz w:val="32"/>
          <w:szCs w:val="32"/>
        </w:rPr>
        <w:t>Waikato Regional Council</w:t>
      </w:r>
    </w:p>
    <w:p w14:paraId="1C043F5D" w14:textId="77777777" w:rsidR="00145DF5" w:rsidRPr="006B4F05" w:rsidRDefault="00145DF5" w:rsidP="00145DF5">
      <w:pPr>
        <w:pStyle w:val="PlainText"/>
        <w:tabs>
          <w:tab w:val="left" w:pos="284"/>
        </w:tabs>
        <w:jc w:val="center"/>
        <w:rPr>
          <w:rFonts w:ascii="Times New Roman" w:hAnsi="Times New Roman"/>
          <w:b/>
          <w:bCs/>
          <w:sz w:val="32"/>
          <w:szCs w:val="32"/>
        </w:rPr>
      </w:pPr>
    </w:p>
    <w:p w14:paraId="69FF9BB0" w14:textId="77777777" w:rsidR="000D2153" w:rsidRPr="006B4F05" w:rsidRDefault="000D2153" w:rsidP="00145DF5">
      <w:pPr>
        <w:pStyle w:val="PlainText"/>
        <w:tabs>
          <w:tab w:val="left" w:pos="284"/>
        </w:tabs>
        <w:jc w:val="center"/>
        <w:rPr>
          <w:rFonts w:ascii="Times New Roman" w:hAnsi="Times New Roman"/>
          <w:b/>
          <w:bCs/>
          <w:sz w:val="32"/>
          <w:szCs w:val="32"/>
        </w:rPr>
      </w:pPr>
    </w:p>
    <w:p w14:paraId="0E04A507" w14:textId="77777777" w:rsidR="00145DF5" w:rsidRPr="006B4F05" w:rsidRDefault="00A75DBA" w:rsidP="00145DF5">
      <w:pPr>
        <w:pStyle w:val="PlainText"/>
        <w:tabs>
          <w:tab w:val="left" w:pos="284"/>
        </w:tabs>
        <w:jc w:val="center"/>
        <w:rPr>
          <w:rFonts w:ascii="Times New Roman" w:hAnsi="Times New Roman"/>
          <w:sz w:val="32"/>
          <w:szCs w:val="32"/>
        </w:rPr>
      </w:pPr>
      <w:r>
        <w:rPr>
          <w:rFonts w:ascii="Times New Roman" w:hAnsi="Times New Roman"/>
          <w:sz w:val="32"/>
          <w:szCs w:val="32"/>
        </w:rPr>
        <w:t>April 2021</w:t>
      </w:r>
    </w:p>
    <w:p w14:paraId="633BBB35" w14:textId="77777777" w:rsidR="000D2153" w:rsidRPr="006B4F05" w:rsidRDefault="000D2153" w:rsidP="00145DF5">
      <w:pPr>
        <w:pStyle w:val="PlainText"/>
        <w:tabs>
          <w:tab w:val="left" w:pos="284"/>
        </w:tabs>
        <w:jc w:val="center"/>
        <w:rPr>
          <w:rFonts w:ascii="Times New Roman" w:hAnsi="Times New Roman"/>
          <w:sz w:val="28"/>
        </w:rPr>
      </w:pPr>
    </w:p>
    <w:p w14:paraId="0589CCE7" w14:textId="77777777" w:rsidR="00294AE9" w:rsidRPr="006B4F05" w:rsidRDefault="00294AE9" w:rsidP="00294AE9">
      <w:pPr>
        <w:spacing w:after="0" w:line="240" w:lineRule="auto"/>
        <w:rPr>
          <w:rFonts w:ascii="Times New Roman" w:hAnsi="Times New Roman" w:cs="Times New Roman"/>
          <w:b/>
          <w:bCs/>
          <w:sz w:val="26"/>
          <w:szCs w:val="26"/>
        </w:rPr>
        <w:sectPr w:rsidR="00294AE9" w:rsidRPr="006B4F05" w:rsidSect="00156EE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pgNumType w:start="1"/>
          <w:cols w:space="708"/>
          <w:docGrid w:linePitch="360"/>
        </w:sectPr>
      </w:pPr>
    </w:p>
    <w:p w14:paraId="12867BEF" w14:textId="77777777" w:rsidR="000D2153" w:rsidRPr="006B4F05" w:rsidRDefault="00A75DBA" w:rsidP="00A75DBA">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2018-base</w:t>
      </w:r>
      <w:r w:rsidR="00DE37D1" w:rsidRPr="00DE37D1">
        <w:rPr>
          <w:rFonts w:ascii="Times New Roman" w:hAnsi="Times New Roman" w:cs="Times New Roman"/>
          <w:b/>
          <w:bCs/>
          <w:sz w:val="26"/>
          <w:szCs w:val="26"/>
        </w:rPr>
        <w:t xml:space="preserve"> </w:t>
      </w:r>
      <w:r w:rsidR="000D2153" w:rsidRPr="006B4F05">
        <w:rPr>
          <w:rFonts w:ascii="Times New Roman" w:hAnsi="Times New Roman" w:cs="Times New Roman"/>
          <w:b/>
          <w:bCs/>
          <w:sz w:val="26"/>
          <w:szCs w:val="26"/>
        </w:rPr>
        <w:t xml:space="preserve">Population, </w:t>
      </w:r>
      <w:r w:rsidR="00256A89" w:rsidRPr="006B4F05">
        <w:rPr>
          <w:rFonts w:ascii="Times New Roman" w:hAnsi="Times New Roman" w:cs="Times New Roman"/>
          <w:b/>
          <w:bCs/>
          <w:sz w:val="26"/>
          <w:szCs w:val="26"/>
        </w:rPr>
        <w:t xml:space="preserve">Family and </w:t>
      </w:r>
      <w:r w:rsidR="000D2153" w:rsidRPr="006B4F05">
        <w:rPr>
          <w:rFonts w:ascii="Times New Roman" w:hAnsi="Times New Roman" w:cs="Times New Roman"/>
          <w:b/>
          <w:bCs/>
          <w:sz w:val="26"/>
          <w:szCs w:val="26"/>
        </w:rPr>
        <w:t>Household</w:t>
      </w:r>
      <w:r w:rsidR="00256A89" w:rsidRPr="006B4F05">
        <w:rPr>
          <w:rFonts w:ascii="Times New Roman" w:hAnsi="Times New Roman" w:cs="Times New Roman"/>
          <w:b/>
          <w:bCs/>
          <w:sz w:val="26"/>
          <w:szCs w:val="26"/>
        </w:rPr>
        <w:t>,</w:t>
      </w:r>
      <w:r w:rsidR="000D2153" w:rsidRPr="006B4F05">
        <w:rPr>
          <w:rFonts w:ascii="Times New Roman" w:hAnsi="Times New Roman" w:cs="Times New Roman"/>
          <w:b/>
          <w:bCs/>
          <w:sz w:val="26"/>
          <w:szCs w:val="26"/>
        </w:rPr>
        <w:t xml:space="preserve"> </w:t>
      </w:r>
      <w:r w:rsidR="00DE37D1">
        <w:rPr>
          <w:rFonts w:ascii="Times New Roman" w:hAnsi="Times New Roman" w:cs="Times New Roman"/>
          <w:b/>
          <w:bCs/>
          <w:sz w:val="26"/>
          <w:szCs w:val="26"/>
        </w:rPr>
        <w:br/>
      </w:r>
      <w:r w:rsidR="000D2153" w:rsidRPr="006B4F05">
        <w:rPr>
          <w:rFonts w:ascii="Times New Roman" w:hAnsi="Times New Roman" w:cs="Times New Roman"/>
          <w:b/>
          <w:bCs/>
          <w:sz w:val="26"/>
          <w:szCs w:val="26"/>
        </w:rPr>
        <w:t xml:space="preserve">and Labour Force Projections </w:t>
      </w:r>
      <w:r w:rsidR="00676678" w:rsidRPr="006B4F05">
        <w:rPr>
          <w:rFonts w:ascii="Times New Roman" w:hAnsi="Times New Roman" w:cs="Times New Roman"/>
          <w:b/>
          <w:bCs/>
          <w:sz w:val="26"/>
          <w:szCs w:val="26"/>
        </w:rPr>
        <w:br/>
      </w:r>
      <w:r w:rsidR="000D2153" w:rsidRPr="006B4F05">
        <w:rPr>
          <w:rFonts w:ascii="Times New Roman" w:hAnsi="Times New Roman" w:cs="Times New Roman"/>
          <w:b/>
          <w:bCs/>
          <w:sz w:val="26"/>
          <w:szCs w:val="26"/>
        </w:rPr>
        <w:t xml:space="preserve">for the Waikato Region, </w:t>
      </w:r>
      <w:r>
        <w:rPr>
          <w:rFonts w:ascii="Times New Roman" w:hAnsi="Times New Roman" w:cs="Times New Roman"/>
          <w:b/>
          <w:bCs/>
          <w:sz w:val="26"/>
          <w:szCs w:val="26"/>
        </w:rPr>
        <w:t>2018-2068</w:t>
      </w:r>
    </w:p>
    <w:p w14:paraId="4C4D3446" w14:textId="77777777" w:rsidR="000D2153" w:rsidRPr="006B4F05" w:rsidRDefault="000D2153" w:rsidP="000D2153">
      <w:pPr>
        <w:pStyle w:val="TOC2"/>
        <w:tabs>
          <w:tab w:val="right" w:pos="9627"/>
        </w:tabs>
        <w:rPr>
          <w:rFonts w:ascii="Times New Roman" w:hAnsi="Times New Roman" w:cs="Times New Roman"/>
          <w:sz w:val="30"/>
          <w:szCs w:val="30"/>
        </w:rPr>
      </w:pPr>
    </w:p>
    <w:p w14:paraId="48DB40F7" w14:textId="77777777" w:rsidR="000D2153" w:rsidRPr="006B4F05" w:rsidRDefault="000D2153" w:rsidP="000D2153">
      <w:pPr>
        <w:jc w:val="both"/>
        <w:rPr>
          <w:rFonts w:ascii="Times New Roman" w:hAnsi="Times New Roman" w:cs="Times New Roman"/>
        </w:rPr>
      </w:pPr>
    </w:p>
    <w:p w14:paraId="1E580DE9" w14:textId="77777777" w:rsidR="000D2153" w:rsidRPr="006B4F05" w:rsidRDefault="000D2153" w:rsidP="000D2153">
      <w:pPr>
        <w:jc w:val="both"/>
        <w:rPr>
          <w:rFonts w:ascii="Times New Roman" w:hAnsi="Times New Roman" w:cs="Times New Roman"/>
        </w:rPr>
      </w:pPr>
      <w:r w:rsidRPr="006B4F05">
        <w:rPr>
          <w:rFonts w:ascii="Times New Roman" w:hAnsi="Times New Roman" w:cs="Times New Roman"/>
        </w:rPr>
        <w:t>Any queries regarding this report should be addressed to:</w:t>
      </w:r>
    </w:p>
    <w:p w14:paraId="331A76BE" w14:textId="77777777" w:rsidR="000D2153" w:rsidRPr="006B4F05" w:rsidRDefault="00DE37D1" w:rsidP="000D2153">
      <w:pPr>
        <w:spacing w:after="0"/>
        <w:jc w:val="both"/>
        <w:rPr>
          <w:rFonts w:ascii="Times New Roman" w:hAnsi="Times New Roman" w:cs="Times New Roman"/>
        </w:rPr>
      </w:pPr>
      <w:proofErr w:type="spellStart"/>
      <w:r>
        <w:rPr>
          <w:rFonts w:ascii="Times New Roman" w:hAnsi="Times New Roman" w:cs="Times New Roman"/>
        </w:rPr>
        <w:t>AProf</w:t>
      </w:r>
      <w:proofErr w:type="spellEnd"/>
      <w:r w:rsidR="00676678" w:rsidRPr="006B4F05">
        <w:rPr>
          <w:rFonts w:ascii="Times New Roman" w:hAnsi="Times New Roman" w:cs="Times New Roman"/>
        </w:rPr>
        <w:t xml:space="preserve">. </w:t>
      </w:r>
      <w:r w:rsidR="000D2153" w:rsidRPr="006B4F05">
        <w:rPr>
          <w:rFonts w:ascii="Times New Roman" w:hAnsi="Times New Roman" w:cs="Times New Roman"/>
        </w:rPr>
        <w:t xml:space="preserve">Michael </w:t>
      </w:r>
      <w:r w:rsidR="00676678" w:rsidRPr="006B4F05">
        <w:rPr>
          <w:rFonts w:ascii="Times New Roman" w:hAnsi="Times New Roman" w:cs="Times New Roman"/>
        </w:rPr>
        <w:t xml:space="preserve">P. </w:t>
      </w:r>
      <w:r w:rsidR="000D2153" w:rsidRPr="006B4F05">
        <w:rPr>
          <w:rFonts w:ascii="Times New Roman" w:hAnsi="Times New Roman" w:cs="Times New Roman"/>
        </w:rPr>
        <w:t>Cameron</w:t>
      </w:r>
    </w:p>
    <w:p w14:paraId="194A1B5C" w14:textId="77777777" w:rsidR="000D2153" w:rsidRPr="006B4F05" w:rsidRDefault="00A75DBA" w:rsidP="000D2153">
      <w:pPr>
        <w:spacing w:after="0"/>
        <w:jc w:val="both"/>
        <w:rPr>
          <w:rFonts w:ascii="Times New Roman" w:hAnsi="Times New Roman" w:cs="Times New Roman"/>
        </w:rPr>
      </w:pPr>
      <w:r>
        <w:rPr>
          <w:rFonts w:ascii="Times New Roman" w:hAnsi="Times New Roman" w:cs="Times New Roman"/>
        </w:rPr>
        <w:t>School of Accounting, Finance and</w:t>
      </w:r>
      <w:r w:rsidR="000D2153" w:rsidRPr="006B4F05">
        <w:rPr>
          <w:rFonts w:ascii="Times New Roman" w:hAnsi="Times New Roman" w:cs="Times New Roman"/>
        </w:rPr>
        <w:t xml:space="preserve"> Economics</w:t>
      </w:r>
    </w:p>
    <w:p w14:paraId="4B086513" w14:textId="77777777" w:rsidR="000D2153" w:rsidRPr="006B4F05" w:rsidRDefault="000D2153" w:rsidP="000D2153">
      <w:pPr>
        <w:spacing w:after="0"/>
        <w:jc w:val="both"/>
        <w:rPr>
          <w:rFonts w:ascii="Times New Roman" w:hAnsi="Times New Roman" w:cs="Times New Roman"/>
        </w:rPr>
      </w:pPr>
      <w:r w:rsidRPr="006B4F05">
        <w:rPr>
          <w:rFonts w:ascii="Times New Roman" w:hAnsi="Times New Roman" w:cs="Times New Roman"/>
        </w:rPr>
        <w:t>University of Waikato</w:t>
      </w:r>
    </w:p>
    <w:p w14:paraId="1C1A5CC7" w14:textId="77777777" w:rsidR="000D2153" w:rsidRPr="006B4F05" w:rsidRDefault="000D2153" w:rsidP="000D2153">
      <w:pPr>
        <w:spacing w:after="0"/>
        <w:jc w:val="both"/>
        <w:rPr>
          <w:rFonts w:ascii="Times New Roman" w:hAnsi="Times New Roman" w:cs="Times New Roman"/>
        </w:rPr>
      </w:pPr>
      <w:r w:rsidRPr="006B4F05">
        <w:rPr>
          <w:rFonts w:ascii="Times New Roman" w:hAnsi="Times New Roman" w:cs="Times New Roman"/>
        </w:rPr>
        <w:t>Private Bag 3105</w:t>
      </w:r>
    </w:p>
    <w:p w14:paraId="3A65EDB9" w14:textId="77777777" w:rsidR="000D2153" w:rsidRPr="00AD4FF4" w:rsidRDefault="000D2153" w:rsidP="000D2153">
      <w:pPr>
        <w:spacing w:after="0"/>
        <w:jc w:val="both"/>
        <w:rPr>
          <w:rFonts w:ascii="Times New Roman" w:hAnsi="Times New Roman" w:cs="Times New Roman"/>
          <w:lang w:val="fr-FR"/>
        </w:rPr>
      </w:pPr>
      <w:r w:rsidRPr="00AD4FF4">
        <w:rPr>
          <w:rFonts w:ascii="Times New Roman" w:hAnsi="Times New Roman" w:cs="Times New Roman"/>
          <w:lang w:val="fr-FR"/>
        </w:rPr>
        <w:t>Hamilton 3240</w:t>
      </w:r>
    </w:p>
    <w:p w14:paraId="735DAB38" w14:textId="77777777" w:rsidR="000D2153" w:rsidRPr="00E15061" w:rsidRDefault="000D2153" w:rsidP="000D2153">
      <w:pPr>
        <w:spacing w:after="0"/>
        <w:jc w:val="both"/>
        <w:rPr>
          <w:rFonts w:ascii="Times New Roman" w:hAnsi="Times New Roman" w:cs="Times New Roman"/>
          <w:lang w:val="fr-FR"/>
        </w:rPr>
      </w:pPr>
      <w:r w:rsidRPr="00E15061">
        <w:rPr>
          <w:rFonts w:ascii="Times New Roman" w:hAnsi="Times New Roman" w:cs="Times New Roman"/>
          <w:lang w:val="fr-FR"/>
        </w:rPr>
        <w:t xml:space="preserve">E-mail: </w:t>
      </w:r>
      <w:hyperlink r:id="rId16" w:history="1">
        <w:r w:rsidRPr="00E15061">
          <w:rPr>
            <w:rStyle w:val="Hyperlink"/>
            <w:rFonts w:ascii="Times New Roman" w:hAnsi="Times New Roman" w:cs="Times New Roman"/>
            <w:lang w:val="fr-FR"/>
          </w:rPr>
          <w:t>mcam@waikato.ac.nz</w:t>
        </w:r>
      </w:hyperlink>
      <w:r w:rsidRPr="00E15061">
        <w:rPr>
          <w:rFonts w:ascii="Times New Roman" w:hAnsi="Times New Roman" w:cs="Times New Roman"/>
          <w:lang w:val="fr-FR"/>
        </w:rPr>
        <w:t xml:space="preserve"> </w:t>
      </w:r>
    </w:p>
    <w:p w14:paraId="6B7E7B74" w14:textId="77777777" w:rsidR="000D2153" w:rsidRPr="00E15061" w:rsidRDefault="000D2153" w:rsidP="000D2153">
      <w:pPr>
        <w:spacing w:after="0"/>
        <w:jc w:val="both"/>
        <w:rPr>
          <w:rFonts w:ascii="Times New Roman" w:hAnsi="Times New Roman" w:cs="Times New Roman"/>
          <w:lang w:val="fr-FR"/>
        </w:rPr>
      </w:pPr>
      <w:r w:rsidRPr="00E15061">
        <w:rPr>
          <w:rFonts w:ascii="Times New Roman" w:hAnsi="Times New Roman" w:cs="Times New Roman"/>
          <w:lang w:val="fr-FR"/>
        </w:rPr>
        <w:t>Phone: +64 7 858 5082.</w:t>
      </w:r>
    </w:p>
    <w:p w14:paraId="6E52F192" w14:textId="77777777" w:rsidR="000D2153" w:rsidRPr="00E15061" w:rsidRDefault="000D2153" w:rsidP="000D2153">
      <w:pPr>
        <w:jc w:val="both"/>
        <w:rPr>
          <w:rFonts w:ascii="Times New Roman" w:hAnsi="Times New Roman" w:cs="Times New Roman"/>
          <w:lang w:val="fr-FR"/>
        </w:rPr>
      </w:pPr>
    </w:p>
    <w:p w14:paraId="7F0A658C" w14:textId="77777777" w:rsidR="000D2153" w:rsidRPr="006B4F05" w:rsidRDefault="000D2153" w:rsidP="000D2153">
      <w:pPr>
        <w:jc w:val="both"/>
        <w:rPr>
          <w:rFonts w:ascii="Times New Roman" w:hAnsi="Times New Roman" w:cs="Times New Roman"/>
        </w:rPr>
      </w:pPr>
      <w:r w:rsidRPr="006B4F05">
        <w:rPr>
          <w:rFonts w:ascii="Times New Roman" w:hAnsi="Times New Roman" w:cs="Times New Roman"/>
        </w:rPr>
        <w:t>The views expressed in this report are those of the authors and do not reflect any official position on the part of the University of Waikato.</w:t>
      </w:r>
    </w:p>
    <w:p w14:paraId="4CE6A146" w14:textId="77777777" w:rsidR="000D2153" w:rsidRPr="006B4F05" w:rsidRDefault="000D2153" w:rsidP="000D2153">
      <w:pPr>
        <w:jc w:val="both"/>
        <w:rPr>
          <w:rFonts w:ascii="Times New Roman" w:hAnsi="Times New Roman" w:cs="Times New Roman"/>
        </w:rPr>
      </w:pPr>
    </w:p>
    <w:p w14:paraId="46C5C62F" w14:textId="77777777" w:rsidR="000D2153" w:rsidRPr="006B4F05" w:rsidRDefault="000D2153" w:rsidP="000D2153">
      <w:pPr>
        <w:jc w:val="both"/>
        <w:rPr>
          <w:rFonts w:ascii="Times New Roman" w:hAnsi="Times New Roman" w:cs="Times New Roman"/>
          <w:b/>
        </w:rPr>
      </w:pPr>
      <w:r w:rsidRPr="006B4F05">
        <w:rPr>
          <w:rFonts w:ascii="Times New Roman" w:hAnsi="Times New Roman" w:cs="Times New Roman"/>
          <w:b/>
        </w:rPr>
        <w:t>Disclaimer</w:t>
      </w:r>
    </w:p>
    <w:p w14:paraId="2C50C50E" w14:textId="77777777" w:rsidR="000D2153" w:rsidRPr="006B4F05" w:rsidRDefault="000D2153" w:rsidP="000D2153">
      <w:pPr>
        <w:jc w:val="both"/>
        <w:rPr>
          <w:rFonts w:ascii="Times New Roman" w:hAnsi="Times New Roman" w:cs="Times New Roman"/>
        </w:rPr>
      </w:pPr>
      <w:r w:rsidRPr="006B4F05">
        <w:rPr>
          <w:rFonts w:ascii="Times New Roman" w:hAnsi="Times New Roman" w:cs="Times New Roman"/>
        </w:rPr>
        <w:t xml:space="preserve">The projections discussed in this report are based on historical data and assumptions made by the authors. While the authors believe that the projections can provide plausible and indicative inputs into planning and policy formulation, the reported numbers </w:t>
      </w:r>
      <w:r w:rsidR="00676678" w:rsidRPr="006B4F05">
        <w:rPr>
          <w:rFonts w:ascii="Times New Roman" w:hAnsi="Times New Roman" w:cs="Times New Roman"/>
        </w:rPr>
        <w:t>can</w:t>
      </w:r>
      <w:r w:rsidRPr="006B4F05">
        <w:rPr>
          <w:rFonts w:ascii="Times New Roman" w:hAnsi="Times New Roman" w:cs="Times New Roman"/>
        </w:rPr>
        <w:t xml:space="preserve">not be relied upon as providing precise forecasts of future population levels. The </w:t>
      </w:r>
      <w:smartTag w:uri="urn:schemas-microsoft-com:office:smarttags" w:element="place">
        <w:smartTag w:uri="urn:schemas-microsoft-com:office:smarttags" w:element="PlaceType">
          <w:r w:rsidRPr="006B4F05">
            <w:rPr>
              <w:rFonts w:ascii="Times New Roman" w:hAnsi="Times New Roman" w:cs="Times New Roman"/>
            </w:rPr>
            <w:t>University</w:t>
          </w:r>
        </w:smartTag>
        <w:r w:rsidRPr="006B4F05">
          <w:rPr>
            <w:rFonts w:ascii="Times New Roman" w:hAnsi="Times New Roman" w:cs="Times New Roman"/>
          </w:rPr>
          <w:t xml:space="preserve"> of </w:t>
        </w:r>
        <w:smartTag w:uri="urn:schemas-microsoft-com:office:smarttags" w:element="PlaceName">
          <w:r w:rsidRPr="006B4F05">
            <w:rPr>
              <w:rFonts w:ascii="Times New Roman" w:hAnsi="Times New Roman" w:cs="Times New Roman"/>
            </w:rPr>
            <w:t>Waikato</w:t>
          </w:r>
        </w:smartTag>
      </w:smartTag>
      <w:r w:rsidRPr="006B4F05">
        <w:rPr>
          <w:rFonts w:ascii="Times New Roman" w:hAnsi="Times New Roman" w:cs="Times New Roman"/>
        </w:rPr>
        <w:t xml:space="preserve"> will not be held liable for any loss suffered through the use, directly or indirectly, of the information contained in this report. </w:t>
      </w:r>
    </w:p>
    <w:p w14:paraId="31A4649B" w14:textId="77777777" w:rsidR="00A74D03" w:rsidRPr="006B4F05" w:rsidRDefault="00A74D03" w:rsidP="00A74D03">
      <w:pPr>
        <w:jc w:val="both"/>
        <w:rPr>
          <w:rFonts w:ascii="Times New Roman" w:hAnsi="Times New Roman" w:cs="Times New Roman"/>
        </w:rPr>
      </w:pPr>
    </w:p>
    <w:p w14:paraId="0AB462D5" w14:textId="77777777" w:rsidR="00A74D03" w:rsidRPr="006B4F05" w:rsidRDefault="00A74D03" w:rsidP="00A74D03">
      <w:pPr>
        <w:jc w:val="both"/>
        <w:rPr>
          <w:rFonts w:ascii="Times New Roman" w:hAnsi="Times New Roman" w:cs="Times New Roman"/>
          <w:b/>
        </w:rPr>
      </w:pPr>
      <w:r w:rsidRPr="006B4F05">
        <w:rPr>
          <w:rFonts w:ascii="Times New Roman" w:hAnsi="Times New Roman" w:cs="Times New Roman"/>
          <w:b/>
        </w:rPr>
        <w:t>Acknowledgements</w:t>
      </w:r>
    </w:p>
    <w:p w14:paraId="454034A9" w14:textId="77777777" w:rsidR="00A74D03" w:rsidRPr="006B4F05" w:rsidRDefault="00A74D03" w:rsidP="00A75DBA">
      <w:pPr>
        <w:jc w:val="both"/>
        <w:rPr>
          <w:rFonts w:ascii="Times New Roman" w:hAnsi="Times New Roman" w:cs="Times New Roman"/>
        </w:rPr>
      </w:pPr>
      <w:r w:rsidRPr="006B4F05">
        <w:rPr>
          <w:rFonts w:ascii="Times New Roman" w:hAnsi="Times New Roman" w:cs="Times New Roman"/>
        </w:rPr>
        <w:t xml:space="preserve">We thank Statistics New Zealand for providing much of the data used to generate these demographic projections. We also thank </w:t>
      </w:r>
      <w:r w:rsidR="005A190E">
        <w:rPr>
          <w:rFonts w:ascii="Times New Roman" w:hAnsi="Times New Roman" w:cs="Times New Roman"/>
        </w:rPr>
        <w:t>Jacques Poot for helpful guidance</w:t>
      </w:r>
      <w:r w:rsidR="00537D28">
        <w:rPr>
          <w:rFonts w:ascii="Times New Roman" w:hAnsi="Times New Roman" w:cs="Times New Roman"/>
        </w:rPr>
        <w:t xml:space="preserve"> on these and/or earlier projections</w:t>
      </w:r>
      <w:r w:rsidR="005A190E">
        <w:rPr>
          <w:rFonts w:ascii="Times New Roman" w:hAnsi="Times New Roman" w:cs="Times New Roman"/>
        </w:rPr>
        <w:t xml:space="preserve">, </w:t>
      </w:r>
      <w:r w:rsidRPr="006B4F05">
        <w:rPr>
          <w:rFonts w:ascii="Times New Roman" w:hAnsi="Times New Roman" w:cs="Times New Roman"/>
        </w:rPr>
        <w:t xml:space="preserve">and </w:t>
      </w:r>
      <w:r w:rsidR="00A75DBA">
        <w:rPr>
          <w:rFonts w:ascii="Times New Roman" w:hAnsi="Times New Roman" w:cs="Times New Roman"/>
        </w:rPr>
        <w:t xml:space="preserve">Tony Fenton, </w:t>
      </w:r>
      <w:r w:rsidRPr="006B4F05">
        <w:rPr>
          <w:rFonts w:ascii="Times New Roman" w:hAnsi="Times New Roman" w:cs="Times New Roman"/>
        </w:rPr>
        <w:t xml:space="preserve">Beat Huser, </w:t>
      </w:r>
      <w:r w:rsidR="00A75DBA">
        <w:rPr>
          <w:rFonts w:ascii="Times New Roman" w:hAnsi="Times New Roman" w:cs="Times New Roman"/>
        </w:rPr>
        <w:t xml:space="preserve">and </w:t>
      </w:r>
      <w:r w:rsidRPr="006B4F05">
        <w:rPr>
          <w:rFonts w:ascii="Times New Roman" w:hAnsi="Times New Roman" w:cs="Times New Roman"/>
        </w:rPr>
        <w:t>Garry McDonald for comments on</w:t>
      </w:r>
      <w:r w:rsidR="00394558">
        <w:rPr>
          <w:rFonts w:ascii="Times New Roman" w:hAnsi="Times New Roman" w:cs="Times New Roman"/>
        </w:rPr>
        <w:t xml:space="preserve"> these and/or earlier</w:t>
      </w:r>
      <w:r w:rsidRPr="006B4F05">
        <w:rPr>
          <w:rFonts w:ascii="Times New Roman" w:hAnsi="Times New Roman" w:cs="Times New Roman"/>
        </w:rPr>
        <w:t xml:space="preserve"> projections. </w:t>
      </w:r>
    </w:p>
    <w:p w14:paraId="4B310279" w14:textId="77777777" w:rsidR="000D2153" w:rsidRPr="006B4F05" w:rsidRDefault="000D2153" w:rsidP="000D2153">
      <w:pPr>
        <w:jc w:val="both"/>
        <w:rPr>
          <w:rFonts w:ascii="Times New Roman" w:hAnsi="Times New Roman" w:cs="Times New Roman"/>
        </w:rPr>
      </w:pPr>
    </w:p>
    <w:p w14:paraId="3238B5F2" w14:textId="77777777" w:rsidR="000D2153" w:rsidRPr="006B4F05" w:rsidRDefault="000D2153" w:rsidP="00A75DBA">
      <w:pPr>
        <w:spacing w:after="0"/>
        <w:jc w:val="both"/>
        <w:rPr>
          <w:rFonts w:ascii="Times New Roman" w:hAnsi="Times New Roman" w:cs="Times New Roman"/>
        </w:rPr>
      </w:pPr>
      <w:r w:rsidRPr="006B4F05">
        <w:rPr>
          <w:rFonts w:ascii="Times New Roman" w:hAnsi="Times New Roman" w:cs="Times New Roman"/>
        </w:rPr>
        <w:t xml:space="preserve">© </w:t>
      </w:r>
      <w:r w:rsidR="004B4569" w:rsidRPr="006B4F05">
        <w:rPr>
          <w:rFonts w:ascii="Times New Roman" w:hAnsi="Times New Roman" w:cs="Times New Roman"/>
        </w:rPr>
        <w:t>20</w:t>
      </w:r>
      <w:r w:rsidR="00A75DBA">
        <w:rPr>
          <w:rFonts w:ascii="Times New Roman" w:hAnsi="Times New Roman" w:cs="Times New Roman"/>
        </w:rPr>
        <w:t>21</w:t>
      </w:r>
      <w:r w:rsidR="004B4569" w:rsidRPr="006B4F05">
        <w:rPr>
          <w:rFonts w:ascii="Times New Roman" w:hAnsi="Times New Roman" w:cs="Times New Roman"/>
        </w:rPr>
        <w:t xml:space="preserve"> </w:t>
      </w:r>
      <w:r w:rsidR="00A75DBA">
        <w:rPr>
          <w:rFonts w:ascii="Times New Roman" w:hAnsi="Times New Roman" w:cs="Times New Roman"/>
        </w:rPr>
        <w:t>School</w:t>
      </w:r>
      <w:r w:rsidR="00676678" w:rsidRPr="006B4F05">
        <w:rPr>
          <w:rFonts w:ascii="Times New Roman" w:hAnsi="Times New Roman" w:cs="Times New Roman"/>
        </w:rPr>
        <w:t xml:space="preserve"> of</w:t>
      </w:r>
      <w:r w:rsidR="00A75DBA">
        <w:rPr>
          <w:rFonts w:ascii="Times New Roman" w:hAnsi="Times New Roman" w:cs="Times New Roman"/>
        </w:rPr>
        <w:t xml:space="preserve"> Accounting, Finance and</w:t>
      </w:r>
      <w:r w:rsidR="00676678" w:rsidRPr="006B4F05">
        <w:rPr>
          <w:rFonts w:ascii="Times New Roman" w:hAnsi="Times New Roman" w:cs="Times New Roman"/>
        </w:rPr>
        <w:t xml:space="preserve"> Economics</w:t>
      </w:r>
    </w:p>
    <w:p w14:paraId="44A8E486" w14:textId="77777777" w:rsidR="000D2153" w:rsidRPr="006B4F05" w:rsidRDefault="000D2153" w:rsidP="00676678">
      <w:pPr>
        <w:spacing w:after="0"/>
        <w:jc w:val="both"/>
        <w:outlineLvl w:val="0"/>
        <w:rPr>
          <w:rFonts w:ascii="Times New Roman" w:hAnsi="Times New Roman" w:cs="Times New Roman"/>
        </w:rPr>
      </w:pPr>
      <w:r w:rsidRPr="006B4F05">
        <w:rPr>
          <w:rFonts w:ascii="Times New Roman" w:hAnsi="Times New Roman" w:cs="Times New Roman"/>
        </w:rPr>
        <w:t xml:space="preserve">The </w:t>
      </w:r>
      <w:smartTag w:uri="urn:schemas-microsoft-com:office:smarttags" w:element="place">
        <w:smartTag w:uri="urn:schemas-microsoft-com:office:smarttags" w:element="PlaceType">
          <w:r w:rsidRPr="006B4F05">
            <w:rPr>
              <w:rFonts w:ascii="Times New Roman" w:hAnsi="Times New Roman" w:cs="Times New Roman"/>
            </w:rPr>
            <w:t>University</w:t>
          </w:r>
        </w:smartTag>
        <w:r w:rsidRPr="006B4F05">
          <w:rPr>
            <w:rFonts w:ascii="Times New Roman" w:hAnsi="Times New Roman" w:cs="Times New Roman"/>
          </w:rPr>
          <w:t xml:space="preserve"> of </w:t>
        </w:r>
        <w:smartTag w:uri="urn:schemas-microsoft-com:office:smarttags" w:element="PlaceName">
          <w:r w:rsidRPr="006B4F05">
            <w:rPr>
              <w:rFonts w:ascii="Times New Roman" w:hAnsi="Times New Roman" w:cs="Times New Roman"/>
            </w:rPr>
            <w:t>Waikato</w:t>
          </w:r>
        </w:smartTag>
      </w:smartTag>
    </w:p>
    <w:p w14:paraId="1E53B9D4" w14:textId="77777777" w:rsidR="000D2153" w:rsidRPr="006B4F05" w:rsidRDefault="000D2153" w:rsidP="00676678">
      <w:pPr>
        <w:spacing w:after="0"/>
        <w:jc w:val="both"/>
        <w:outlineLvl w:val="0"/>
        <w:rPr>
          <w:rFonts w:ascii="Times New Roman" w:hAnsi="Times New Roman" w:cs="Times New Roman"/>
        </w:rPr>
      </w:pPr>
      <w:r w:rsidRPr="006B4F05">
        <w:rPr>
          <w:rFonts w:ascii="Times New Roman" w:hAnsi="Times New Roman" w:cs="Times New Roman"/>
        </w:rPr>
        <w:t>Private Bag 3105</w:t>
      </w:r>
    </w:p>
    <w:p w14:paraId="0D0CC8FE" w14:textId="77777777" w:rsidR="000D2153" w:rsidRPr="006B4F05" w:rsidRDefault="000D2153" w:rsidP="00676678">
      <w:pPr>
        <w:spacing w:after="0"/>
        <w:jc w:val="both"/>
        <w:outlineLvl w:val="0"/>
        <w:rPr>
          <w:rFonts w:ascii="Times New Roman" w:hAnsi="Times New Roman" w:cs="Times New Roman"/>
        </w:rPr>
      </w:pPr>
      <w:smartTag w:uri="urn:schemas-microsoft-com:office:smarttags" w:element="place">
        <w:smartTag w:uri="urn:schemas-microsoft-com:office:smarttags" w:element="City">
          <w:r w:rsidRPr="006B4F05">
            <w:rPr>
              <w:rFonts w:ascii="Times New Roman" w:hAnsi="Times New Roman" w:cs="Times New Roman"/>
            </w:rPr>
            <w:t>Hamilton</w:t>
          </w:r>
        </w:smartTag>
      </w:smartTag>
      <w:r w:rsidRPr="006B4F05">
        <w:rPr>
          <w:rFonts w:ascii="Times New Roman" w:hAnsi="Times New Roman" w:cs="Times New Roman"/>
        </w:rPr>
        <w:t xml:space="preserve"> </w:t>
      </w:r>
    </w:p>
    <w:p w14:paraId="3E877CFC" w14:textId="77777777" w:rsidR="000D2153" w:rsidRPr="006B4F05" w:rsidRDefault="000D2153" w:rsidP="00676678">
      <w:pPr>
        <w:spacing w:after="0"/>
        <w:jc w:val="both"/>
        <w:outlineLvl w:val="0"/>
        <w:rPr>
          <w:rFonts w:ascii="Times New Roman" w:hAnsi="Times New Roman" w:cs="Times New Roman"/>
        </w:rPr>
      </w:pPr>
      <w:smartTag w:uri="urn:schemas-microsoft-com:office:smarttags" w:element="place">
        <w:smartTag w:uri="urn:schemas-microsoft-com:office:smarttags" w:element="country-region">
          <w:r w:rsidRPr="006B4F05">
            <w:rPr>
              <w:rFonts w:ascii="Times New Roman" w:hAnsi="Times New Roman" w:cs="Times New Roman"/>
            </w:rPr>
            <w:t>New Zealand</w:t>
          </w:r>
        </w:smartTag>
      </w:smartTag>
    </w:p>
    <w:p w14:paraId="6ED298AD" w14:textId="77777777" w:rsidR="007C7F57" w:rsidRPr="006B4F05" w:rsidRDefault="007C7F57" w:rsidP="00145DF5">
      <w:pPr>
        <w:pStyle w:val="PlainText"/>
        <w:tabs>
          <w:tab w:val="left" w:pos="284"/>
        </w:tabs>
        <w:jc w:val="center"/>
        <w:rPr>
          <w:rFonts w:ascii="Times New Roman" w:hAnsi="Times New Roman"/>
          <w:sz w:val="28"/>
        </w:rPr>
      </w:pPr>
    </w:p>
    <w:p w14:paraId="2038097B" w14:textId="77777777" w:rsidR="007C7F57" w:rsidRPr="006B4F05" w:rsidRDefault="007C7F57" w:rsidP="00145DF5">
      <w:pPr>
        <w:pStyle w:val="PlainText"/>
        <w:tabs>
          <w:tab w:val="left" w:pos="284"/>
        </w:tabs>
        <w:jc w:val="center"/>
        <w:rPr>
          <w:rFonts w:ascii="Times New Roman" w:hAnsi="Times New Roman"/>
          <w:sz w:val="28"/>
        </w:rPr>
      </w:pPr>
    </w:p>
    <w:p w14:paraId="20D06510" w14:textId="77777777" w:rsidR="000727CA" w:rsidRPr="00C90F17" w:rsidRDefault="00A74D03" w:rsidP="00C90F17">
      <w:pPr>
        <w:rPr>
          <w:rFonts w:ascii="Calibri" w:eastAsiaTheme="majorEastAsia" w:hAnsi="Calibri" w:cs="Times New Roman"/>
          <w:b/>
          <w:bCs/>
          <w:color w:val="4F81BD" w:themeColor="accent1"/>
          <w:szCs w:val="24"/>
        </w:rPr>
      </w:pPr>
      <w:r w:rsidRPr="006B4F05">
        <w:rPr>
          <w:rFonts w:ascii="Calibri" w:hAnsi="Calibri" w:cs="Times New Roman"/>
          <w:szCs w:val="24"/>
        </w:rPr>
        <w:br w:type="page"/>
      </w:r>
    </w:p>
    <w:p w14:paraId="75C1E52F" w14:textId="77777777" w:rsidR="00A74D03" w:rsidRPr="006B4F05" w:rsidRDefault="00A74D03" w:rsidP="00EA6C12">
      <w:pPr>
        <w:spacing w:line="300" w:lineRule="auto"/>
        <w:jc w:val="both"/>
        <w:rPr>
          <w:b/>
          <w:sz w:val="12"/>
          <w:szCs w:val="12"/>
        </w:rPr>
        <w:sectPr w:rsidR="00A74D03" w:rsidRPr="006B4F05" w:rsidSect="00A74D03">
          <w:footerReference w:type="default" r:id="rId17"/>
          <w:pgSz w:w="11906" w:h="16838"/>
          <w:pgMar w:top="1440" w:right="1440" w:bottom="1440" w:left="1440" w:header="709" w:footer="709" w:gutter="0"/>
          <w:pgNumType w:fmt="lowerRoman" w:start="1"/>
          <w:cols w:space="708"/>
          <w:docGrid w:linePitch="360"/>
        </w:sectPr>
      </w:pPr>
    </w:p>
    <w:p w14:paraId="2A823C21" w14:textId="77777777" w:rsidR="00A74D03" w:rsidRPr="006B4F05" w:rsidRDefault="00A74D03" w:rsidP="004D688E">
      <w:pPr>
        <w:spacing w:line="300" w:lineRule="auto"/>
        <w:jc w:val="center"/>
        <w:rPr>
          <w:b/>
          <w:sz w:val="12"/>
          <w:szCs w:val="12"/>
        </w:rPr>
      </w:pPr>
    </w:p>
    <w:p w14:paraId="614981CC" w14:textId="77777777" w:rsidR="0090131D" w:rsidRPr="006B4F05" w:rsidRDefault="0090131D" w:rsidP="00AB368E">
      <w:pPr>
        <w:pStyle w:val="Heading2"/>
      </w:pPr>
      <w:bookmarkStart w:id="0" w:name="_Toc320189401"/>
      <w:r w:rsidRPr="006B4F05">
        <w:t>Introduction</w:t>
      </w:r>
    </w:p>
    <w:p w14:paraId="5C0557B5" w14:textId="77777777" w:rsidR="00526535" w:rsidRDefault="00526535" w:rsidP="002F7326">
      <w:pPr>
        <w:spacing w:line="360" w:lineRule="auto"/>
        <w:jc w:val="both"/>
        <w:rPr>
          <w:rFonts w:ascii="Times New Roman" w:hAnsi="Times New Roman" w:cs="Times New Roman"/>
          <w:sz w:val="24"/>
          <w:szCs w:val="24"/>
        </w:rPr>
      </w:pPr>
      <w:r w:rsidRPr="0058032E">
        <w:rPr>
          <w:rFonts w:ascii="Times New Roman" w:hAnsi="Times New Roman" w:cs="Times New Roman"/>
          <w:sz w:val="24"/>
          <w:szCs w:val="24"/>
        </w:rPr>
        <w:t xml:space="preserve">The Waikato Regional Council (WRC) approached the University of Waikato in </w:t>
      </w:r>
      <w:r>
        <w:rPr>
          <w:rFonts w:ascii="Times New Roman" w:hAnsi="Times New Roman" w:cs="Times New Roman"/>
          <w:sz w:val="24"/>
          <w:szCs w:val="24"/>
        </w:rPr>
        <w:t>2016</w:t>
      </w:r>
      <w:r w:rsidRPr="0058032E">
        <w:rPr>
          <w:rFonts w:ascii="Times New Roman" w:hAnsi="Times New Roman" w:cs="Times New Roman"/>
          <w:sz w:val="24"/>
          <w:szCs w:val="24"/>
        </w:rPr>
        <w:t xml:space="preserve"> with a request to </w:t>
      </w:r>
      <w:r>
        <w:rPr>
          <w:rFonts w:ascii="Times New Roman" w:hAnsi="Times New Roman" w:cs="Times New Roman"/>
          <w:sz w:val="24"/>
          <w:szCs w:val="24"/>
        </w:rPr>
        <w:t>produce new</w:t>
      </w:r>
      <w:r w:rsidRPr="0058032E">
        <w:rPr>
          <w:rFonts w:ascii="Times New Roman" w:hAnsi="Times New Roman" w:cs="Times New Roman"/>
          <w:sz w:val="24"/>
          <w:szCs w:val="24"/>
        </w:rPr>
        <w:t xml:space="preserve"> Territorial Authority (TA) level population, household and labour force projections for the Waikato Region</w:t>
      </w:r>
      <w:r>
        <w:rPr>
          <w:rFonts w:ascii="Times New Roman" w:hAnsi="Times New Roman" w:cs="Times New Roman"/>
          <w:sz w:val="24"/>
          <w:szCs w:val="24"/>
        </w:rPr>
        <w:t>, subsequent to the release of data from the 2018 Census. These projections use a new</w:t>
      </w:r>
      <w:r w:rsidR="00786C43">
        <w:rPr>
          <w:rFonts w:ascii="Times New Roman" w:hAnsi="Times New Roman" w:cs="Times New Roman"/>
          <w:sz w:val="24"/>
          <w:szCs w:val="24"/>
        </w:rPr>
        <w:t>ly-developed</w:t>
      </w:r>
      <w:r>
        <w:rPr>
          <w:rFonts w:ascii="Times New Roman" w:hAnsi="Times New Roman" w:cs="Times New Roman"/>
          <w:sz w:val="24"/>
          <w:szCs w:val="24"/>
        </w:rPr>
        <w:t xml:space="preserve"> multi-regional cohort component model that cover</w:t>
      </w:r>
      <w:r w:rsidR="002903F3">
        <w:rPr>
          <w:rFonts w:ascii="Times New Roman" w:hAnsi="Times New Roman" w:cs="Times New Roman"/>
          <w:sz w:val="24"/>
          <w:szCs w:val="24"/>
        </w:rPr>
        <w:t>s</w:t>
      </w:r>
      <w:r>
        <w:rPr>
          <w:rFonts w:ascii="Times New Roman" w:hAnsi="Times New Roman" w:cs="Times New Roman"/>
          <w:sz w:val="24"/>
          <w:szCs w:val="24"/>
        </w:rPr>
        <w:t xml:space="preserve"> the whole </w:t>
      </w:r>
      <w:r w:rsidR="002903F3">
        <w:rPr>
          <w:rFonts w:ascii="Times New Roman" w:hAnsi="Times New Roman" w:cs="Times New Roman"/>
          <w:sz w:val="24"/>
          <w:szCs w:val="24"/>
        </w:rPr>
        <w:t>of New Zealand (except the Chatham Islands</w:t>
      </w:r>
      <w:r w:rsidR="00DB4964">
        <w:rPr>
          <w:rFonts w:ascii="Times New Roman" w:hAnsi="Times New Roman" w:cs="Times New Roman"/>
          <w:sz w:val="24"/>
          <w:szCs w:val="24"/>
        </w:rPr>
        <w:t xml:space="preserve"> Territory</w:t>
      </w:r>
      <w:r w:rsidR="002903F3">
        <w:rPr>
          <w:rFonts w:ascii="Times New Roman" w:hAnsi="Times New Roman" w:cs="Times New Roman"/>
          <w:sz w:val="24"/>
          <w:szCs w:val="24"/>
        </w:rPr>
        <w:t>)</w:t>
      </w:r>
      <w:r>
        <w:rPr>
          <w:rFonts w:ascii="Times New Roman" w:hAnsi="Times New Roman" w:cs="Times New Roman"/>
          <w:sz w:val="24"/>
          <w:szCs w:val="24"/>
        </w:rPr>
        <w:t xml:space="preserve">, and incorporates separate components of population change for internal migration flows (based on a gravity model) and international migration flows (immigration and emigration). This represents an improvement on the previously used </w:t>
      </w:r>
      <w:r w:rsidRPr="0058032E">
        <w:rPr>
          <w:rFonts w:ascii="Times New Roman" w:hAnsi="Times New Roman" w:cs="Times New Roman"/>
          <w:sz w:val="24"/>
          <w:szCs w:val="24"/>
        </w:rPr>
        <w:t>Whole-of-Waikato</w:t>
      </w:r>
      <w:r w:rsidR="002F7326">
        <w:rPr>
          <w:rFonts w:ascii="Times New Roman" w:hAnsi="Times New Roman" w:cs="Times New Roman"/>
          <w:sz w:val="24"/>
          <w:szCs w:val="24"/>
        </w:rPr>
        <w:t xml:space="preserve"> (WOW)</w:t>
      </w:r>
      <w:r>
        <w:rPr>
          <w:rFonts w:ascii="Times New Roman" w:hAnsi="Times New Roman" w:cs="Times New Roman"/>
          <w:sz w:val="24"/>
          <w:szCs w:val="24"/>
        </w:rPr>
        <w:t xml:space="preserve"> population model, which had been used in previous 2013-base and earlier population projections developed by the University of Waikato (</w:t>
      </w:r>
      <w:r w:rsidR="005F6A74">
        <w:rPr>
          <w:rFonts w:ascii="Times New Roman" w:hAnsi="Times New Roman" w:cs="Times New Roman"/>
          <w:sz w:val="24"/>
          <w:szCs w:val="24"/>
        </w:rPr>
        <w:t xml:space="preserve">Cameron 2020a; 2020b; 2020c; Cameron and Cochrane, 2014a; 2015; 2016; Cameron </w:t>
      </w:r>
      <w:r w:rsidR="005F6A74" w:rsidRPr="002F7326">
        <w:rPr>
          <w:rFonts w:ascii="Times New Roman" w:hAnsi="Times New Roman" w:cs="Times New Roman"/>
          <w:i/>
          <w:iCs/>
          <w:sz w:val="24"/>
          <w:szCs w:val="24"/>
        </w:rPr>
        <w:t>et al</w:t>
      </w:r>
      <w:r w:rsidR="005F6A74">
        <w:rPr>
          <w:rFonts w:ascii="Times New Roman" w:hAnsi="Times New Roman" w:cs="Times New Roman"/>
          <w:sz w:val="24"/>
          <w:szCs w:val="24"/>
        </w:rPr>
        <w:t>., 2007; 2008; Jackson et al., 2014b</w:t>
      </w:r>
      <w:r>
        <w:rPr>
          <w:rFonts w:ascii="Times New Roman" w:hAnsi="Times New Roman" w:cs="Times New Roman"/>
          <w:sz w:val="24"/>
          <w:szCs w:val="24"/>
        </w:rPr>
        <w:t xml:space="preserve">), as well as being integrated into the </w:t>
      </w:r>
      <w:r w:rsidRPr="0058032E">
        <w:rPr>
          <w:rFonts w:ascii="Times New Roman" w:hAnsi="Times New Roman" w:cs="Times New Roman"/>
          <w:sz w:val="24"/>
          <w:szCs w:val="24"/>
        </w:rPr>
        <w:t xml:space="preserve">Waikato Integrated Scenario Explorer (WISE) model (Rutledge </w:t>
      </w:r>
      <w:r w:rsidRPr="0058032E">
        <w:rPr>
          <w:rFonts w:ascii="Times New Roman" w:hAnsi="Times New Roman" w:cs="Times New Roman"/>
          <w:i/>
          <w:sz w:val="24"/>
          <w:szCs w:val="24"/>
        </w:rPr>
        <w:t>et al</w:t>
      </w:r>
      <w:r w:rsidRPr="0058032E">
        <w:rPr>
          <w:rFonts w:ascii="Times New Roman" w:hAnsi="Times New Roman" w:cs="Times New Roman"/>
          <w:sz w:val="24"/>
          <w:szCs w:val="24"/>
        </w:rPr>
        <w:t>., 2008; 2010). The WISE model is a systems-based integrated model that incorporates economic, demographic, and environmental components across the entire Waikato Region</w:t>
      </w:r>
      <w:r>
        <w:rPr>
          <w:rFonts w:ascii="Times New Roman" w:hAnsi="Times New Roman" w:cs="Times New Roman"/>
          <w:sz w:val="24"/>
          <w:szCs w:val="24"/>
        </w:rPr>
        <w:t xml:space="preserve">. The new population projections model is not incorporated directly into WISE, but </w:t>
      </w:r>
      <w:r w:rsidR="002F7326">
        <w:rPr>
          <w:rFonts w:ascii="Times New Roman" w:hAnsi="Times New Roman" w:cs="Times New Roman"/>
          <w:sz w:val="24"/>
          <w:szCs w:val="24"/>
        </w:rPr>
        <w:t>remains</w:t>
      </w:r>
      <w:r>
        <w:rPr>
          <w:rFonts w:ascii="Times New Roman" w:hAnsi="Times New Roman" w:cs="Times New Roman"/>
          <w:sz w:val="24"/>
          <w:szCs w:val="24"/>
        </w:rPr>
        <w:t xml:space="preserve"> a</w:t>
      </w:r>
      <w:r w:rsidR="002F7326">
        <w:rPr>
          <w:rFonts w:ascii="Times New Roman" w:hAnsi="Times New Roman" w:cs="Times New Roman"/>
          <w:sz w:val="24"/>
          <w:szCs w:val="24"/>
        </w:rPr>
        <w:t xml:space="preserve"> key</w:t>
      </w:r>
      <w:r>
        <w:rPr>
          <w:rFonts w:ascii="Times New Roman" w:hAnsi="Times New Roman" w:cs="Times New Roman"/>
          <w:sz w:val="24"/>
          <w:szCs w:val="24"/>
        </w:rPr>
        <w:t xml:space="preserve"> input into the WISE model.</w:t>
      </w:r>
    </w:p>
    <w:p w14:paraId="5402AA79" w14:textId="77777777" w:rsidR="00DB4964" w:rsidRDefault="004265F7" w:rsidP="002F7326">
      <w:pPr>
        <w:spacing w:line="360" w:lineRule="auto"/>
        <w:jc w:val="both"/>
        <w:rPr>
          <w:rFonts w:ascii="Times New Roman" w:hAnsi="Times New Roman" w:cs="Times New Roman"/>
          <w:sz w:val="24"/>
          <w:szCs w:val="24"/>
        </w:rPr>
      </w:pPr>
      <w:r w:rsidRPr="0058032E">
        <w:rPr>
          <w:rFonts w:ascii="Times New Roman" w:hAnsi="Times New Roman" w:cs="Times New Roman"/>
          <w:sz w:val="24"/>
          <w:szCs w:val="24"/>
        </w:rPr>
        <w:t xml:space="preserve">This report briefly summarises the </w:t>
      </w:r>
      <w:proofErr w:type="spellStart"/>
      <w:r w:rsidR="002F7326">
        <w:rPr>
          <w:rFonts w:ascii="Times New Roman" w:hAnsi="Times New Roman" w:cs="Times New Roman"/>
          <w:sz w:val="24"/>
          <w:szCs w:val="24"/>
        </w:rPr>
        <w:t>the</w:t>
      </w:r>
      <w:proofErr w:type="spellEnd"/>
      <w:r w:rsidR="002F7326">
        <w:rPr>
          <w:rFonts w:ascii="Times New Roman" w:hAnsi="Times New Roman" w:cs="Times New Roman"/>
          <w:sz w:val="24"/>
          <w:szCs w:val="24"/>
        </w:rPr>
        <w:t xml:space="preserve"> </w:t>
      </w:r>
      <w:r>
        <w:rPr>
          <w:rFonts w:ascii="Times New Roman" w:hAnsi="Times New Roman" w:cs="Times New Roman"/>
          <w:sz w:val="24"/>
          <w:szCs w:val="24"/>
        </w:rPr>
        <w:t>Waikato</w:t>
      </w:r>
      <w:r w:rsidRPr="0058032E">
        <w:rPr>
          <w:rFonts w:ascii="Times New Roman" w:hAnsi="Times New Roman" w:cs="Times New Roman"/>
          <w:sz w:val="24"/>
          <w:szCs w:val="24"/>
        </w:rPr>
        <w:t xml:space="preserve"> 201</w:t>
      </w:r>
      <w:r w:rsidR="00526535">
        <w:rPr>
          <w:rFonts w:ascii="Times New Roman" w:hAnsi="Times New Roman" w:cs="Times New Roman"/>
          <w:sz w:val="24"/>
          <w:szCs w:val="24"/>
        </w:rPr>
        <w:t>8</w:t>
      </w:r>
      <w:r w:rsidRPr="0058032E">
        <w:rPr>
          <w:rFonts w:ascii="Times New Roman" w:hAnsi="Times New Roman" w:cs="Times New Roman"/>
          <w:sz w:val="24"/>
          <w:szCs w:val="24"/>
        </w:rPr>
        <w:t>-</w:t>
      </w:r>
      <w:r w:rsidR="00526535">
        <w:rPr>
          <w:rFonts w:ascii="Times New Roman" w:hAnsi="Times New Roman" w:cs="Times New Roman"/>
          <w:sz w:val="24"/>
          <w:szCs w:val="24"/>
        </w:rPr>
        <w:t>base</w:t>
      </w:r>
      <w:r w:rsidRPr="0058032E">
        <w:rPr>
          <w:rFonts w:ascii="Times New Roman" w:hAnsi="Times New Roman" w:cs="Times New Roman"/>
          <w:sz w:val="24"/>
          <w:szCs w:val="24"/>
        </w:rPr>
        <w:t xml:space="preserve"> population projections for TAs in the Waikato Region.</w:t>
      </w:r>
      <w:r>
        <w:rPr>
          <w:rFonts w:ascii="Times New Roman" w:hAnsi="Times New Roman" w:cs="Times New Roman"/>
          <w:sz w:val="24"/>
          <w:szCs w:val="24"/>
        </w:rPr>
        <w:t xml:space="preserve"> </w:t>
      </w:r>
      <w:r w:rsidR="00526535">
        <w:rPr>
          <w:rFonts w:ascii="Times New Roman" w:hAnsi="Times New Roman" w:cs="Times New Roman"/>
          <w:sz w:val="24"/>
          <w:szCs w:val="24"/>
        </w:rPr>
        <w:t xml:space="preserve">The </w:t>
      </w:r>
      <w:r w:rsidR="002F7326">
        <w:rPr>
          <w:rFonts w:ascii="Times New Roman" w:hAnsi="Times New Roman" w:cs="Times New Roman"/>
          <w:sz w:val="24"/>
          <w:szCs w:val="24"/>
        </w:rPr>
        <w:t>methodology</w:t>
      </w:r>
      <w:r w:rsidR="00526535">
        <w:rPr>
          <w:rFonts w:ascii="Times New Roman" w:hAnsi="Times New Roman" w:cs="Times New Roman"/>
          <w:sz w:val="24"/>
          <w:szCs w:val="24"/>
        </w:rPr>
        <w:t xml:space="preserve"> underlying the new population model </w:t>
      </w:r>
      <w:r w:rsidR="002F7326">
        <w:rPr>
          <w:rFonts w:ascii="Times New Roman" w:hAnsi="Times New Roman" w:cs="Times New Roman"/>
          <w:sz w:val="24"/>
          <w:szCs w:val="24"/>
        </w:rPr>
        <w:t>is</w:t>
      </w:r>
      <w:r w:rsidR="00526535">
        <w:rPr>
          <w:rFonts w:ascii="Times New Roman" w:hAnsi="Times New Roman" w:cs="Times New Roman"/>
          <w:sz w:val="24"/>
          <w:szCs w:val="24"/>
        </w:rPr>
        <w:t xml:space="preserve"> described in detail, along with the assumptions that were applied for the </w:t>
      </w:r>
      <w:r w:rsidR="002F7326">
        <w:rPr>
          <w:rFonts w:ascii="Times New Roman" w:hAnsi="Times New Roman" w:cs="Times New Roman"/>
          <w:sz w:val="24"/>
          <w:szCs w:val="24"/>
        </w:rPr>
        <w:t xml:space="preserve">2018-base </w:t>
      </w:r>
      <w:r w:rsidR="00526535">
        <w:rPr>
          <w:rFonts w:ascii="Times New Roman" w:hAnsi="Times New Roman" w:cs="Times New Roman"/>
          <w:sz w:val="24"/>
          <w:szCs w:val="24"/>
        </w:rPr>
        <w:t>projections. This model represents an improvement on previous models (e.g. Cameron and Cochrane, 2014; 2015</w:t>
      </w:r>
      <w:r w:rsidR="002F7326">
        <w:rPr>
          <w:rFonts w:ascii="Times New Roman" w:hAnsi="Times New Roman" w:cs="Times New Roman"/>
          <w:sz w:val="24"/>
          <w:szCs w:val="24"/>
        </w:rPr>
        <w:t>; 2016</w:t>
      </w:r>
      <w:r w:rsidR="00526535">
        <w:rPr>
          <w:rFonts w:ascii="Times New Roman" w:hAnsi="Times New Roman" w:cs="Times New Roman"/>
          <w:sz w:val="24"/>
          <w:szCs w:val="24"/>
        </w:rPr>
        <w:t>), as it incorporates directional migration flows, and separates internal and international migration. It also incorporates improvements in the age</w:t>
      </w:r>
      <w:r w:rsidR="002F7326">
        <w:rPr>
          <w:rFonts w:ascii="Times New Roman" w:hAnsi="Times New Roman" w:cs="Times New Roman"/>
          <w:sz w:val="24"/>
          <w:szCs w:val="24"/>
        </w:rPr>
        <w:t xml:space="preserve"> </w:t>
      </w:r>
      <w:r w:rsidR="00526535">
        <w:rPr>
          <w:rFonts w:ascii="Times New Roman" w:hAnsi="Times New Roman" w:cs="Times New Roman"/>
          <w:sz w:val="24"/>
          <w:szCs w:val="24"/>
        </w:rPr>
        <w:t>distribution of migration. These improvements to the population model were requested subsequent to a peer review of the WOW population model (</w:t>
      </w:r>
      <w:r w:rsidR="002F7326">
        <w:rPr>
          <w:rFonts w:ascii="Times New Roman" w:hAnsi="Times New Roman" w:cs="Times New Roman"/>
          <w:sz w:val="24"/>
          <w:szCs w:val="24"/>
        </w:rPr>
        <w:t>Wilson, 2015</w:t>
      </w:r>
      <w:r w:rsidR="00526535">
        <w:rPr>
          <w:rFonts w:ascii="Times New Roman" w:hAnsi="Times New Roman" w:cs="Times New Roman"/>
          <w:sz w:val="24"/>
          <w:szCs w:val="24"/>
        </w:rPr>
        <w:t xml:space="preserve">). The family and household, and labour force, projections derived from the population projections follow </w:t>
      </w:r>
      <w:r w:rsidR="002F7326">
        <w:rPr>
          <w:rFonts w:ascii="Times New Roman" w:hAnsi="Times New Roman" w:cs="Times New Roman"/>
          <w:sz w:val="24"/>
          <w:szCs w:val="24"/>
        </w:rPr>
        <w:t>a similar</w:t>
      </w:r>
      <w:r w:rsidR="00526535">
        <w:rPr>
          <w:rFonts w:ascii="Times New Roman" w:hAnsi="Times New Roman" w:cs="Times New Roman"/>
          <w:sz w:val="24"/>
          <w:szCs w:val="24"/>
        </w:rPr>
        <w:t xml:space="preserve"> methodology as</w:t>
      </w:r>
      <w:r w:rsidR="002F7326">
        <w:rPr>
          <w:rFonts w:ascii="Times New Roman" w:hAnsi="Times New Roman" w:cs="Times New Roman"/>
          <w:sz w:val="24"/>
          <w:szCs w:val="24"/>
        </w:rPr>
        <w:t xml:space="preserve"> that</w:t>
      </w:r>
      <w:r w:rsidR="00526535">
        <w:rPr>
          <w:rFonts w:ascii="Times New Roman" w:hAnsi="Times New Roman" w:cs="Times New Roman"/>
          <w:sz w:val="24"/>
          <w:szCs w:val="24"/>
        </w:rPr>
        <w:t xml:space="preserve"> employed in Cameron and Cochrane (</w:t>
      </w:r>
      <w:r w:rsidR="002F7326">
        <w:rPr>
          <w:rFonts w:ascii="Times New Roman" w:hAnsi="Times New Roman" w:cs="Times New Roman"/>
          <w:sz w:val="24"/>
          <w:szCs w:val="24"/>
        </w:rPr>
        <w:t>2016</w:t>
      </w:r>
      <w:r w:rsidR="00526535">
        <w:rPr>
          <w:rFonts w:ascii="Times New Roman" w:hAnsi="Times New Roman" w:cs="Times New Roman"/>
          <w:sz w:val="24"/>
          <w:szCs w:val="24"/>
        </w:rPr>
        <w:t>) for the 2016-updated Waikato projections.</w:t>
      </w:r>
    </w:p>
    <w:p w14:paraId="0552B722" w14:textId="77777777" w:rsidR="004B4DC7" w:rsidRPr="006B4F05" w:rsidRDefault="004B4DC7" w:rsidP="002F7326">
      <w:pPr>
        <w:spacing w:line="360" w:lineRule="auto"/>
        <w:jc w:val="both"/>
        <w:rPr>
          <w:rFonts w:ascii="Times New Roman" w:hAnsi="Times New Roman" w:cs="Times New Roman"/>
          <w:sz w:val="24"/>
          <w:szCs w:val="24"/>
        </w:rPr>
      </w:pPr>
      <w:r w:rsidRPr="007368E5">
        <w:rPr>
          <w:rFonts w:ascii="Times New Roman" w:hAnsi="Times New Roman" w:cs="Times New Roman"/>
          <w:sz w:val="24"/>
          <w:szCs w:val="24"/>
        </w:rPr>
        <w:t xml:space="preserve">This project continues to build on the pioneering </w:t>
      </w:r>
      <w:r w:rsidR="007368E5">
        <w:rPr>
          <w:rFonts w:ascii="Times New Roman" w:hAnsi="Times New Roman" w:cs="Times New Roman"/>
          <w:sz w:val="24"/>
          <w:szCs w:val="24"/>
        </w:rPr>
        <w:t xml:space="preserve">demographic projections </w:t>
      </w:r>
      <w:r w:rsidRPr="007368E5">
        <w:rPr>
          <w:rFonts w:ascii="Times New Roman" w:hAnsi="Times New Roman" w:cs="Times New Roman"/>
          <w:sz w:val="24"/>
          <w:szCs w:val="24"/>
        </w:rPr>
        <w:t>work by the University of Waikato</w:t>
      </w:r>
      <w:r>
        <w:rPr>
          <w:rFonts w:ascii="Times New Roman" w:hAnsi="Times New Roman" w:cs="Times New Roman"/>
          <w:sz w:val="24"/>
          <w:szCs w:val="24"/>
        </w:rPr>
        <w:t xml:space="preserve"> (</w:t>
      </w:r>
      <w:r w:rsidRPr="006B4F05">
        <w:rPr>
          <w:rFonts w:ascii="Times New Roman" w:hAnsi="Times New Roman" w:cs="Times New Roman"/>
          <w:sz w:val="24"/>
          <w:szCs w:val="24"/>
        </w:rPr>
        <w:t xml:space="preserve">Cameron </w:t>
      </w:r>
      <w:r w:rsidRPr="006B4F05">
        <w:rPr>
          <w:rFonts w:ascii="Times New Roman" w:hAnsi="Times New Roman" w:cs="Times New Roman"/>
          <w:i/>
          <w:sz w:val="24"/>
          <w:szCs w:val="24"/>
        </w:rPr>
        <w:t>et al</w:t>
      </w:r>
      <w:r>
        <w:rPr>
          <w:rFonts w:ascii="Times New Roman" w:hAnsi="Times New Roman" w:cs="Times New Roman"/>
          <w:sz w:val="24"/>
          <w:szCs w:val="24"/>
        </w:rPr>
        <w:t xml:space="preserve">., </w:t>
      </w:r>
      <w:r w:rsidRPr="006B4F05">
        <w:rPr>
          <w:rFonts w:ascii="Times New Roman" w:hAnsi="Times New Roman" w:cs="Times New Roman"/>
          <w:sz w:val="24"/>
          <w:szCs w:val="24"/>
        </w:rPr>
        <w:t>200</w:t>
      </w:r>
      <w:r w:rsidR="002F7326">
        <w:rPr>
          <w:rFonts w:ascii="Times New Roman" w:hAnsi="Times New Roman" w:cs="Times New Roman"/>
          <w:sz w:val="24"/>
          <w:szCs w:val="24"/>
        </w:rPr>
        <w:t>7; 200</w:t>
      </w:r>
      <w:r w:rsidRPr="006B4F05">
        <w:rPr>
          <w:rFonts w:ascii="Times New Roman" w:hAnsi="Times New Roman" w:cs="Times New Roman"/>
          <w:sz w:val="24"/>
          <w:szCs w:val="24"/>
        </w:rPr>
        <w:t xml:space="preserve">8). </w:t>
      </w:r>
      <w:r w:rsidR="007368E5">
        <w:rPr>
          <w:rFonts w:ascii="Times New Roman" w:hAnsi="Times New Roman" w:cs="Times New Roman"/>
          <w:sz w:val="24"/>
          <w:szCs w:val="24"/>
        </w:rPr>
        <w:t xml:space="preserve">The model has developed over time, and the </w:t>
      </w:r>
      <w:r w:rsidR="002F7326">
        <w:rPr>
          <w:rFonts w:ascii="Times New Roman" w:hAnsi="Times New Roman" w:cs="Times New Roman"/>
          <w:sz w:val="24"/>
          <w:szCs w:val="24"/>
        </w:rPr>
        <w:t>methodology</w:t>
      </w:r>
      <w:r w:rsidR="007368E5">
        <w:rPr>
          <w:rFonts w:ascii="Times New Roman" w:hAnsi="Times New Roman" w:cs="Times New Roman"/>
          <w:sz w:val="24"/>
          <w:szCs w:val="24"/>
        </w:rPr>
        <w:t xml:space="preserve"> and assumptions</w:t>
      </w:r>
      <w:r w:rsidRPr="006B4F05">
        <w:rPr>
          <w:rFonts w:ascii="Times New Roman" w:hAnsi="Times New Roman" w:cs="Times New Roman"/>
          <w:sz w:val="24"/>
          <w:szCs w:val="24"/>
        </w:rPr>
        <w:t xml:space="preserve"> </w:t>
      </w:r>
      <w:r w:rsidR="002F7326">
        <w:rPr>
          <w:rFonts w:ascii="Times New Roman" w:hAnsi="Times New Roman" w:cs="Times New Roman"/>
          <w:sz w:val="24"/>
          <w:szCs w:val="24"/>
        </w:rPr>
        <w:t>that are now employed</w:t>
      </w:r>
      <w:r w:rsidRPr="006B4F05">
        <w:rPr>
          <w:rFonts w:ascii="Times New Roman" w:hAnsi="Times New Roman" w:cs="Times New Roman"/>
          <w:sz w:val="24"/>
          <w:szCs w:val="24"/>
        </w:rPr>
        <w:t xml:space="preserve"> are </w:t>
      </w:r>
      <w:r w:rsidR="002F7326">
        <w:rPr>
          <w:rFonts w:ascii="Times New Roman" w:hAnsi="Times New Roman" w:cs="Times New Roman"/>
          <w:sz w:val="24"/>
          <w:szCs w:val="24"/>
        </w:rPr>
        <w:t>substantially</w:t>
      </w:r>
      <w:r w:rsidRPr="006B4F05">
        <w:rPr>
          <w:rFonts w:ascii="Times New Roman" w:hAnsi="Times New Roman" w:cs="Times New Roman"/>
          <w:sz w:val="24"/>
          <w:szCs w:val="24"/>
        </w:rPr>
        <w:t xml:space="preserve"> different from those adopted for official Statistics</w:t>
      </w:r>
      <w:r w:rsidR="007368E5">
        <w:rPr>
          <w:rFonts w:ascii="Times New Roman" w:hAnsi="Times New Roman" w:cs="Times New Roman"/>
          <w:sz w:val="24"/>
          <w:szCs w:val="24"/>
        </w:rPr>
        <w:t xml:space="preserve"> New Zealand (SNZ) projections.</w:t>
      </w:r>
      <w:r w:rsidR="00DB4964">
        <w:rPr>
          <w:rFonts w:ascii="Times New Roman" w:hAnsi="Times New Roman" w:cs="Times New Roman"/>
          <w:sz w:val="24"/>
          <w:szCs w:val="24"/>
        </w:rPr>
        <w:t xml:space="preserve"> The population model generates projections for all of the TAs in New Zealand (with the exception of Chatham Islands Territory). </w:t>
      </w:r>
      <w:r w:rsidR="00DB4964">
        <w:rPr>
          <w:rFonts w:ascii="Times New Roman" w:hAnsi="Times New Roman" w:cs="Times New Roman"/>
          <w:sz w:val="24"/>
          <w:szCs w:val="24"/>
        </w:rPr>
        <w:lastRenderedPageBreak/>
        <w:t>However, in this report we limit ourselves to reporting the results for TAs that are wholly or substantively contained within the Waikato Region.</w:t>
      </w:r>
    </w:p>
    <w:p w14:paraId="5148384A" w14:textId="77777777" w:rsidR="004B4DC7" w:rsidRDefault="0066297C" w:rsidP="002F7326">
      <w:pPr>
        <w:spacing w:line="360" w:lineRule="auto"/>
        <w:jc w:val="both"/>
        <w:rPr>
          <w:rFonts w:ascii="Times New Roman" w:hAnsi="Times New Roman" w:cs="Times New Roman"/>
          <w:sz w:val="24"/>
          <w:szCs w:val="24"/>
        </w:rPr>
      </w:pPr>
      <w:r>
        <w:rPr>
          <w:rFonts w:ascii="Times New Roman" w:hAnsi="Times New Roman" w:cs="Times New Roman"/>
          <w:sz w:val="24"/>
          <w:szCs w:val="24"/>
        </w:rPr>
        <w:t>Three</w:t>
      </w:r>
      <w:r w:rsidR="007368E5">
        <w:rPr>
          <w:rFonts w:ascii="Times New Roman" w:hAnsi="Times New Roman" w:cs="Times New Roman"/>
          <w:sz w:val="24"/>
          <w:szCs w:val="24"/>
        </w:rPr>
        <w:t xml:space="preserve"> projection variants were developed</w:t>
      </w:r>
      <w:r>
        <w:rPr>
          <w:rFonts w:ascii="Times New Roman" w:hAnsi="Times New Roman" w:cs="Times New Roman"/>
          <w:sz w:val="24"/>
          <w:szCs w:val="24"/>
        </w:rPr>
        <w:t xml:space="preserve"> for </w:t>
      </w:r>
      <w:r w:rsidR="002F7326">
        <w:rPr>
          <w:rFonts w:ascii="Times New Roman" w:hAnsi="Times New Roman" w:cs="Times New Roman"/>
          <w:sz w:val="24"/>
          <w:szCs w:val="24"/>
        </w:rPr>
        <w:t xml:space="preserve">the TA-level </w:t>
      </w:r>
      <w:r>
        <w:rPr>
          <w:rFonts w:ascii="Times New Roman" w:hAnsi="Times New Roman" w:cs="Times New Roman"/>
          <w:sz w:val="24"/>
          <w:szCs w:val="24"/>
        </w:rPr>
        <w:t>population, family and households, and labour force</w:t>
      </w:r>
      <w:r w:rsidR="007368E5">
        <w:rPr>
          <w:rFonts w:ascii="Times New Roman" w:hAnsi="Times New Roman" w:cs="Times New Roman"/>
          <w:sz w:val="24"/>
          <w:szCs w:val="24"/>
        </w:rPr>
        <w:t>: (1) a low-variant; (2) a medium-variant; and (3) a high-variant. As discussed</w:t>
      </w:r>
      <w:r w:rsidR="000071DC">
        <w:rPr>
          <w:rFonts w:ascii="Times New Roman" w:hAnsi="Times New Roman" w:cs="Times New Roman"/>
          <w:sz w:val="24"/>
          <w:szCs w:val="24"/>
        </w:rPr>
        <w:t xml:space="preserve"> in Section 2.</w:t>
      </w:r>
      <w:r w:rsidR="002F7326">
        <w:rPr>
          <w:rFonts w:ascii="Times New Roman" w:hAnsi="Times New Roman" w:cs="Times New Roman"/>
          <w:sz w:val="24"/>
          <w:szCs w:val="24"/>
        </w:rPr>
        <w:t>9</w:t>
      </w:r>
      <w:r w:rsidR="000071DC">
        <w:rPr>
          <w:rFonts w:ascii="Times New Roman" w:hAnsi="Times New Roman" w:cs="Times New Roman"/>
          <w:sz w:val="24"/>
          <w:szCs w:val="24"/>
        </w:rPr>
        <w:t xml:space="preserve"> of the report</w:t>
      </w:r>
      <w:r w:rsidR="007368E5">
        <w:rPr>
          <w:rFonts w:ascii="Times New Roman" w:hAnsi="Times New Roman" w:cs="Times New Roman"/>
          <w:sz w:val="24"/>
          <w:szCs w:val="24"/>
        </w:rPr>
        <w:t xml:space="preserve">, these three variants should be interpreted as individual scenarios from the many possible futures that could be realised for population, family and households, and the labour force. </w:t>
      </w:r>
      <w:r w:rsidR="004B4DC7" w:rsidRPr="006B4F05">
        <w:rPr>
          <w:rFonts w:ascii="Times New Roman" w:hAnsi="Times New Roman" w:cs="Times New Roman"/>
          <w:sz w:val="24"/>
          <w:szCs w:val="24"/>
        </w:rPr>
        <w:t xml:space="preserve">In sum, </w:t>
      </w:r>
      <w:r w:rsidR="007368E5">
        <w:rPr>
          <w:rFonts w:ascii="Times New Roman" w:hAnsi="Times New Roman" w:cs="Times New Roman"/>
          <w:sz w:val="24"/>
          <w:szCs w:val="24"/>
        </w:rPr>
        <w:t>this</w:t>
      </w:r>
      <w:r w:rsidR="004B4DC7" w:rsidRPr="006B4F05">
        <w:rPr>
          <w:rFonts w:ascii="Times New Roman" w:hAnsi="Times New Roman" w:cs="Times New Roman"/>
          <w:sz w:val="24"/>
          <w:szCs w:val="24"/>
        </w:rPr>
        <w:t xml:space="preserve"> project involved calculating population,</w:t>
      </w:r>
      <w:r w:rsidR="004B4DC7">
        <w:rPr>
          <w:rFonts w:ascii="Times New Roman" w:hAnsi="Times New Roman" w:cs="Times New Roman"/>
          <w:sz w:val="24"/>
          <w:szCs w:val="24"/>
        </w:rPr>
        <w:t xml:space="preserve"> family and</w:t>
      </w:r>
      <w:r w:rsidR="004B4DC7" w:rsidRPr="006B4F05">
        <w:rPr>
          <w:rFonts w:ascii="Times New Roman" w:hAnsi="Times New Roman" w:cs="Times New Roman"/>
          <w:sz w:val="24"/>
          <w:szCs w:val="24"/>
        </w:rPr>
        <w:t xml:space="preserve"> household, and labour force projections for each TA in the Waikato Regi</w:t>
      </w:r>
      <w:r w:rsidR="007368E5">
        <w:rPr>
          <w:rFonts w:ascii="Times New Roman" w:hAnsi="Times New Roman" w:cs="Times New Roman"/>
          <w:sz w:val="24"/>
          <w:szCs w:val="24"/>
        </w:rPr>
        <w:t>on, and for the region in total, for each of the three variants (low, medium, and high).</w:t>
      </w:r>
      <w:r w:rsidR="004B4DC7" w:rsidRPr="006B4F05">
        <w:rPr>
          <w:rFonts w:ascii="Times New Roman" w:hAnsi="Times New Roman" w:cs="Times New Roman"/>
          <w:sz w:val="24"/>
          <w:szCs w:val="24"/>
        </w:rPr>
        <w:t xml:space="preserve"> These projections will feed into a follow-up report on </w:t>
      </w:r>
      <w:r w:rsidR="004B4DC7">
        <w:rPr>
          <w:rFonts w:ascii="Times New Roman" w:hAnsi="Times New Roman" w:cs="Times New Roman"/>
          <w:sz w:val="24"/>
          <w:szCs w:val="24"/>
        </w:rPr>
        <w:t xml:space="preserve">population, and family and household, </w:t>
      </w:r>
      <w:r w:rsidR="004B4DC7" w:rsidRPr="006B4F05">
        <w:rPr>
          <w:rFonts w:ascii="Times New Roman" w:hAnsi="Times New Roman" w:cs="Times New Roman"/>
          <w:sz w:val="24"/>
          <w:szCs w:val="24"/>
        </w:rPr>
        <w:t xml:space="preserve">projections at the </w:t>
      </w:r>
      <w:r w:rsidR="007368E5">
        <w:rPr>
          <w:rFonts w:ascii="Times New Roman" w:hAnsi="Times New Roman" w:cs="Times New Roman"/>
          <w:sz w:val="24"/>
          <w:szCs w:val="24"/>
        </w:rPr>
        <w:t>SA2</w:t>
      </w:r>
      <w:r w:rsidR="00423E4E">
        <w:rPr>
          <w:rFonts w:ascii="Times New Roman" w:hAnsi="Times New Roman" w:cs="Times New Roman"/>
          <w:sz w:val="24"/>
          <w:szCs w:val="24"/>
        </w:rPr>
        <w:t xml:space="preserve"> statistical area</w:t>
      </w:r>
      <w:r w:rsidR="004B4DC7" w:rsidRPr="006B4F05">
        <w:rPr>
          <w:rFonts w:ascii="Times New Roman" w:hAnsi="Times New Roman" w:cs="Times New Roman"/>
          <w:sz w:val="24"/>
          <w:szCs w:val="24"/>
        </w:rPr>
        <w:t xml:space="preserve"> level </w:t>
      </w:r>
      <w:r w:rsidR="004B4DC7" w:rsidRPr="002F7326">
        <w:rPr>
          <w:rFonts w:ascii="Times New Roman" w:hAnsi="Times New Roman" w:cs="Times New Roman"/>
          <w:sz w:val="24"/>
          <w:szCs w:val="24"/>
        </w:rPr>
        <w:t xml:space="preserve">(Cameron and Cochrane, </w:t>
      </w:r>
      <w:r w:rsidR="007368E5" w:rsidRPr="002F7326">
        <w:rPr>
          <w:rFonts w:ascii="Times New Roman" w:hAnsi="Times New Roman" w:cs="Times New Roman"/>
          <w:sz w:val="24"/>
          <w:szCs w:val="24"/>
        </w:rPr>
        <w:t>2021 forthcoming</w:t>
      </w:r>
      <w:r w:rsidR="004B4DC7" w:rsidRPr="002F7326">
        <w:rPr>
          <w:rFonts w:ascii="Times New Roman" w:hAnsi="Times New Roman" w:cs="Times New Roman"/>
          <w:sz w:val="24"/>
          <w:szCs w:val="24"/>
        </w:rPr>
        <w:t>).</w:t>
      </w:r>
      <w:r w:rsidR="00906E52" w:rsidRPr="002F7326">
        <w:rPr>
          <w:rFonts w:ascii="Times New Roman" w:hAnsi="Times New Roman" w:cs="Times New Roman"/>
          <w:sz w:val="24"/>
          <w:szCs w:val="24"/>
        </w:rPr>
        <w:t xml:space="preserve"> In addition, a fourth scenario was prepared for population only, which ignored the assumed impact of the coronavirus pandemic (see Section 2.7 for further details).</w:t>
      </w:r>
    </w:p>
    <w:p w14:paraId="5AA45DC6" w14:textId="77777777" w:rsidR="002903F3" w:rsidRDefault="002903F3" w:rsidP="004C55AF">
      <w:pPr>
        <w:spacing w:line="360" w:lineRule="auto"/>
        <w:jc w:val="both"/>
        <w:rPr>
          <w:rFonts w:ascii="Times New Roman" w:hAnsi="Times New Roman" w:cs="Times New Roman"/>
          <w:sz w:val="24"/>
          <w:szCs w:val="24"/>
        </w:rPr>
      </w:pPr>
      <w:r>
        <w:rPr>
          <w:rFonts w:ascii="Times New Roman" w:hAnsi="Times New Roman" w:cs="Times New Roman"/>
          <w:sz w:val="24"/>
          <w:szCs w:val="24"/>
        </w:rPr>
        <w:t>The projections were delayed several times due to delays in the release of necessary data from the 2018 Cen</w:t>
      </w:r>
      <w:r w:rsidR="004C55AF">
        <w:rPr>
          <w:rFonts w:ascii="Times New Roman" w:hAnsi="Times New Roman" w:cs="Times New Roman"/>
          <w:sz w:val="24"/>
          <w:szCs w:val="24"/>
        </w:rPr>
        <w:t>sus of Population and Dwellings.</w:t>
      </w:r>
      <w:r w:rsidR="004C55AF">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In particular, the 2018-base Estimated Resident Population data for June 2018 was only updated and made available by SNZ in October of 2020.</w:t>
      </w:r>
      <w:r w:rsidR="004C55AF">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Moreover, at the time of compiling these projections, updated fertility and mortality assumptions from SNZ were not available (see Section 2.4), nor were living arrange</w:t>
      </w:r>
      <w:r w:rsidR="00863E53">
        <w:rPr>
          <w:rFonts w:ascii="Times New Roman" w:hAnsi="Times New Roman" w:cs="Times New Roman"/>
          <w:sz w:val="24"/>
          <w:szCs w:val="24"/>
        </w:rPr>
        <w:t>ment type rate assumptions (see Section 2.10</w:t>
      </w:r>
      <w:r>
        <w:rPr>
          <w:rFonts w:ascii="Times New Roman" w:hAnsi="Times New Roman" w:cs="Times New Roman"/>
          <w:sz w:val="24"/>
          <w:szCs w:val="24"/>
        </w:rPr>
        <w:t>). However, our expectation is that the lack of these assumptions does not lead to significant bias in the resulting projections, and waiting for their availability would have further delayed delivery of this report and the associated projections.</w:t>
      </w:r>
    </w:p>
    <w:p w14:paraId="6EAE6E89" w14:textId="77777777" w:rsidR="004B4DC7" w:rsidRPr="006B4F05" w:rsidRDefault="004B4DC7" w:rsidP="004B4DC7">
      <w:pPr>
        <w:rPr>
          <w:rFonts w:ascii="Times New Roman" w:hAnsi="Times New Roman" w:cs="Times New Roman"/>
          <w:sz w:val="24"/>
          <w:szCs w:val="24"/>
        </w:rPr>
      </w:pPr>
      <w:r w:rsidRPr="006B4F05">
        <w:rPr>
          <w:rFonts w:ascii="Times New Roman" w:hAnsi="Times New Roman" w:cs="Times New Roman"/>
          <w:sz w:val="24"/>
          <w:szCs w:val="24"/>
        </w:rPr>
        <w:t xml:space="preserve">The </w:t>
      </w:r>
      <w:r w:rsidR="00172D4F">
        <w:rPr>
          <w:rFonts w:ascii="Times New Roman" w:hAnsi="Times New Roman" w:cs="Times New Roman"/>
          <w:sz w:val="24"/>
          <w:szCs w:val="24"/>
        </w:rPr>
        <w:t xml:space="preserve">remainder of the </w:t>
      </w:r>
      <w:r w:rsidRPr="006B4F05">
        <w:rPr>
          <w:rFonts w:ascii="Times New Roman" w:hAnsi="Times New Roman" w:cs="Times New Roman"/>
          <w:sz w:val="24"/>
          <w:szCs w:val="24"/>
        </w:rPr>
        <w:t>report is structured as follows</w:t>
      </w:r>
      <w:r w:rsidR="00C90F17">
        <w:rPr>
          <w:rFonts w:ascii="Times New Roman" w:hAnsi="Times New Roman" w:cs="Times New Roman"/>
          <w:sz w:val="24"/>
          <w:szCs w:val="24"/>
        </w:rPr>
        <w:t xml:space="preserve"> (with Sections 3-5 only included in the full report)</w:t>
      </w:r>
      <w:r w:rsidRPr="006B4F05">
        <w:rPr>
          <w:rFonts w:ascii="Times New Roman" w:hAnsi="Times New Roman" w:cs="Times New Roman"/>
          <w:sz w:val="24"/>
          <w:szCs w:val="24"/>
        </w:rPr>
        <w:t>:</w:t>
      </w:r>
    </w:p>
    <w:p w14:paraId="34D37668" w14:textId="77777777" w:rsidR="004B4DC7" w:rsidRDefault="004B4DC7" w:rsidP="007368E5">
      <w:pPr>
        <w:pStyle w:val="ListParagraph"/>
        <w:numPr>
          <w:ilvl w:val="0"/>
          <w:numId w:val="21"/>
        </w:numPr>
        <w:spacing w:line="360" w:lineRule="auto"/>
        <w:jc w:val="both"/>
        <w:rPr>
          <w:rFonts w:ascii="Times New Roman" w:hAnsi="Times New Roman" w:cs="Times New Roman"/>
          <w:sz w:val="24"/>
          <w:szCs w:val="24"/>
        </w:rPr>
      </w:pPr>
      <w:r w:rsidRPr="006B4F05">
        <w:rPr>
          <w:rFonts w:ascii="Times New Roman" w:hAnsi="Times New Roman" w:cs="Times New Roman"/>
          <w:sz w:val="24"/>
          <w:szCs w:val="24"/>
        </w:rPr>
        <w:t xml:space="preserve">Section 2 </w:t>
      </w:r>
      <w:r w:rsidR="004265F7">
        <w:rPr>
          <w:rFonts w:ascii="Times New Roman" w:hAnsi="Times New Roman" w:cs="Times New Roman"/>
          <w:sz w:val="24"/>
          <w:szCs w:val="24"/>
        </w:rPr>
        <w:t xml:space="preserve">briefly summarises </w:t>
      </w:r>
      <w:r w:rsidRPr="006B4F05">
        <w:rPr>
          <w:rFonts w:ascii="Times New Roman" w:hAnsi="Times New Roman" w:cs="Times New Roman"/>
          <w:sz w:val="24"/>
          <w:szCs w:val="24"/>
        </w:rPr>
        <w:t>the data and methodology used in preparing the projections;</w:t>
      </w:r>
    </w:p>
    <w:p w14:paraId="2F723858" w14:textId="77777777" w:rsidR="00863E53" w:rsidRPr="00863E53" w:rsidRDefault="00863E53" w:rsidP="00863E53">
      <w:pPr>
        <w:pStyle w:val="ListParagraph"/>
        <w:numPr>
          <w:ilvl w:val="0"/>
          <w:numId w:val="21"/>
        </w:numPr>
        <w:spacing w:line="360" w:lineRule="auto"/>
        <w:jc w:val="both"/>
        <w:rPr>
          <w:rFonts w:ascii="Times New Roman" w:hAnsi="Times New Roman" w:cs="Times New Roman"/>
          <w:sz w:val="24"/>
          <w:szCs w:val="24"/>
        </w:rPr>
      </w:pPr>
      <w:r w:rsidRPr="006B4F05">
        <w:rPr>
          <w:rFonts w:ascii="Times New Roman" w:hAnsi="Times New Roman" w:cs="Times New Roman"/>
          <w:sz w:val="24"/>
          <w:szCs w:val="24"/>
        </w:rPr>
        <w:t xml:space="preserve">Section </w:t>
      </w:r>
      <w:r>
        <w:rPr>
          <w:rFonts w:ascii="Times New Roman" w:hAnsi="Times New Roman" w:cs="Times New Roman"/>
          <w:sz w:val="24"/>
          <w:szCs w:val="24"/>
        </w:rPr>
        <w:t>3</w:t>
      </w:r>
      <w:r w:rsidRPr="006B4F05">
        <w:rPr>
          <w:rFonts w:ascii="Times New Roman" w:hAnsi="Times New Roman" w:cs="Times New Roman"/>
          <w:sz w:val="24"/>
          <w:szCs w:val="24"/>
        </w:rPr>
        <w:t xml:space="preserve"> </w:t>
      </w:r>
      <w:r>
        <w:rPr>
          <w:rFonts w:ascii="Times New Roman" w:hAnsi="Times New Roman" w:cs="Times New Roman"/>
          <w:sz w:val="24"/>
          <w:szCs w:val="24"/>
        </w:rPr>
        <w:t xml:space="preserve">presents </w:t>
      </w:r>
      <w:r w:rsidRPr="006B4F05">
        <w:rPr>
          <w:rFonts w:ascii="Times New Roman" w:hAnsi="Times New Roman" w:cs="Times New Roman"/>
          <w:sz w:val="24"/>
          <w:szCs w:val="24"/>
        </w:rPr>
        <w:t xml:space="preserve">and briefly discusses </w:t>
      </w:r>
      <w:r>
        <w:rPr>
          <w:rFonts w:ascii="Times New Roman" w:hAnsi="Times New Roman" w:cs="Times New Roman"/>
          <w:sz w:val="24"/>
          <w:szCs w:val="24"/>
        </w:rPr>
        <w:t>the national-level population projections, obtained by summing the TA-level projections for the entire country</w:t>
      </w:r>
      <w:r w:rsidRPr="006B4F05">
        <w:rPr>
          <w:rFonts w:ascii="Times New Roman" w:hAnsi="Times New Roman" w:cs="Times New Roman"/>
          <w:sz w:val="24"/>
          <w:szCs w:val="24"/>
        </w:rPr>
        <w:t>;</w:t>
      </w:r>
    </w:p>
    <w:p w14:paraId="4BE84329" w14:textId="77777777" w:rsidR="004B4DC7" w:rsidRPr="006B4F05" w:rsidRDefault="004B4DC7" w:rsidP="00863E53">
      <w:pPr>
        <w:pStyle w:val="ListParagraph"/>
        <w:numPr>
          <w:ilvl w:val="0"/>
          <w:numId w:val="21"/>
        </w:numPr>
        <w:spacing w:line="360" w:lineRule="auto"/>
        <w:jc w:val="both"/>
        <w:rPr>
          <w:rFonts w:ascii="Times New Roman" w:hAnsi="Times New Roman" w:cs="Times New Roman"/>
          <w:sz w:val="24"/>
          <w:szCs w:val="24"/>
        </w:rPr>
      </w:pPr>
      <w:r w:rsidRPr="006B4F05">
        <w:rPr>
          <w:rFonts w:ascii="Times New Roman" w:hAnsi="Times New Roman" w:cs="Times New Roman"/>
          <w:sz w:val="24"/>
          <w:szCs w:val="24"/>
        </w:rPr>
        <w:t xml:space="preserve">Section </w:t>
      </w:r>
      <w:r w:rsidR="00863E53">
        <w:rPr>
          <w:rFonts w:ascii="Times New Roman" w:hAnsi="Times New Roman" w:cs="Times New Roman"/>
          <w:sz w:val="24"/>
          <w:szCs w:val="24"/>
        </w:rPr>
        <w:t>4</w:t>
      </w:r>
      <w:r w:rsidRPr="006B4F05">
        <w:rPr>
          <w:rFonts w:ascii="Times New Roman" w:hAnsi="Times New Roman" w:cs="Times New Roman"/>
          <w:sz w:val="24"/>
          <w:szCs w:val="24"/>
        </w:rPr>
        <w:t xml:space="preserve"> presents and briefly discusses the TA level </w:t>
      </w:r>
      <w:r w:rsidR="004265F7">
        <w:rPr>
          <w:rFonts w:ascii="Times New Roman" w:hAnsi="Times New Roman" w:cs="Times New Roman"/>
          <w:sz w:val="24"/>
          <w:szCs w:val="24"/>
        </w:rPr>
        <w:t>demographic (population, family and household, and labour force)</w:t>
      </w:r>
      <w:r w:rsidRPr="006B4F05">
        <w:rPr>
          <w:rFonts w:ascii="Times New Roman" w:hAnsi="Times New Roman" w:cs="Times New Roman"/>
          <w:sz w:val="24"/>
          <w:szCs w:val="24"/>
        </w:rPr>
        <w:t xml:space="preserve"> projections, for </w:t>
      </w:r>
      <w:r w:rsidR="00FB3437">
        <w:rPr>
          <w:rFonts w:ascii="Times New Roman" w:hAnsi="Times New Roman" w:cs="Times New Roman"/>
          <w:sz w:val="24"/>
          <w:szCs w:val="24"/>
        </w:rPr>
        <w:t>all</w:t>
      </w:r>
      <w:r w:rsidRPr="006B4F05">
        <w:rPr>
          <w:rFonts w:ascii="Times New Roman" w:hAnsi="Times New Roman" w:cs="Times New Roman"/>
          <w:sz w:val="24"/>
          <w:szCs w:val="24"/>
        </w:rPr>
        <w:t xml:space="preserve"> (</w:t>
      </w:r>
      <w:r w:rsidR="00FB3437">
        <w:rPr>
          <w:rFonts w:ascii="Times New Roman" w:hAnsi="Times New Roman" w:cs="Times New Roman"/>
          <w:sz w:val="24"/>
          <w:szCs w:val="24"/>
        </w:rPr>
        <w:t xml:space="preserve">low-variant, </w:t>
      </w:r>
      <w:r w:rsidRPr="006B4F05">
        <w:rPr>
          <w:rFonts w:ascii="Times New Roman" w:hAnsi="Times New Roman" w:cs="Times New Roman"/>
          <w:sz w:val="24"/>
          <w:szCs w:val="24"/>
        </w:rPr>
        <w:t>medium</w:t>
      </w:r>
      <w:r w:rsidR="004265F7">
        <w:rPr>
          <w:rFonts w:ascii="Times New Roman" w:hAnsi="Times New Roman" w:cs="Times New Roman"/>
          <w:sz w:val="24"/>
          <w:szCs w:val="24"/>
        </w:rPr>
        <w:t>-variant</w:t>
      </w:r>
      <w:r w:rsidR="00FB3437">
        <w:rPr>
          <w:rFonts w:ascii="Times New Roman" w:hAnsi="Times New Roman" w:cs="Times New Roman"/>
          <w:sz w:val="24"/>
          <w:szCs w:val="24"/>
        </w:rPr>
        <w:t>,</w:t>
      </w:r>
      <w:r w:rsidR="004265F7">
        <w:rPr>
          <w:rFonts w:ascii="Times New Roman" w:hAnsi="Times New Roman" w:cs="Times New Roman"/>
          <w:sz w:val="24"/>
          <w:szCs w:val="24"/>
        </w:rPr>
        <w:t xml:space="preserve"> and</w:t>
      </w:r>
      <w:r w:rsidRPr="006B4F05">
        <w:rPr>
          <w:rFonts w:ascii="Times New Roman" w:hAnsi="Times New Roman" w:cs="Times New Roman"/>
          <w:sz w:val="24"/>
          <w:szCs w:val="24"/>
        </w:rPr>
        <w:t xml:space="preserve"> high</w:t>
      </w:r>
      <w:r w:rsidR="004265F7">
        <w:rPr>
          <w:rFonts w:ascii="Times New Roman" w:hAnsi="Times New Roman" w:cs="Times New Roman"/>
          <w:sz w:val="24"/>
          <w:szCs w:val="24"/>
        </w:rPr>
        <w:t>-variant</w:t>
      </w:r>
      <w:r w:rsidRPr="006B4F05">
        <w:rPr>
          <w:rFonts w:ascii="Times New Roman" w:hAnsi="Times New Roman" w:cs="Times New Roman"/>
          <w:sz w:val="24"/>
          <w:szCs w:val="24"/>
        </w:rPr>
        <w:t>) scenarios;</w:t>
      </w:r>
      <w:r w:rsidR="004265F7">
        <w:rPr>
          <w:rFonts w:ascii="Times New Roman" w:hAnsi="Times New Roman" w:cs="Times New Roman"/>
          <w:sz w:val="24"/>
          <w:szCs w:val="24"/>
        </w:rPr>
        <w:t xml:space="preserve"> and</w:t>
      </w:r>
    </w:p>
    <w:p w14:paraId="286568C4" w14:textId="77777777" w:rsidR="004B4DC7" w:rsidRPr="006B4F05" w:rsidRDefault="004B4DC7" w:rsidP="00863E53">
      <w:pPr>
        <w:pStyle w:val="ListParagraph"/>
        <w:numPr>
          <w:ilvl w:val="0"/>
          <w:numId w:val="21"/>
        </w:numPr>
        <w:spacing w:line="360" w:lineRule="auto"/>
        <w:jc w:val="both"/>
        <w:rPr>
          <w:rFonts w:ascii="Times New Roman" w:hAnsi="Times New Roman" w:cs="Times New Roman"/>
          <w:sz w:val="24"/>
          <w:szCs w:val="24"/>
        </w:rPr>
      </w:pPr>
      <w:r w:rsidRPr="006B4F05">
        <w:rPr>
          <w:rFonts w:ascii="Times New Roman" w:hAnsi="Times New Roman" w:cs="Times New Roman"/>
          <w:sz w:val="24"/>
          <w:szCs w:val="24"/>
        </w:rPr>
        <w:lastRenderedPageBreak/>
        <w:t xml:space="preserve">Section </w:t>
      </w:r>
      <w:r w:rsidR="00863E53">
        <w:rPr>
          <w:rFonts w:ascii="Times New Roman" w:hAnsi="Times New Roman" w:cs="Times New Roman"/>
          <w:sz w:val="24"/>
          <w:szCs w:val="24"/>
        </w:rPr>
        <w:t>5</w:t>
      </w:r>
      <w:r w:rsidRPr="006B4F05">
        <w:rPr>
          <w:rFonts w:ascii="Times New Roman" w:hAnsi="Times New Roman" w:cs="Times New Roman"/>
          <w:sz w:val="24"/>
          <w:szCs w:val="24"/>
        </w:rPr>
        <w:t xml:space="preserve"> concludes.</w:t>
      </w:r>
    </w:p>
    <w:p w14:paraId="5570FE1E" w14:textId="77777777" w:rsidR="00450CD4" w:rsidRPr="006B4F05" w:rsidRDefault="00450CD4" w:rsidP="00450CD4">
      <w:pPr>
        <w:spacing w:line="360" w:lineRule="auto"/>
        <w:jc w:val="both"/>
        <w:rPr>
          <w:rFonts w:ascii="Times New Roman" w:hAnsi="Times New Roman" w:cs="Times New Roman"/>
          <w:sz w:val="24"/>
          <w:szCs w:val="24"/>
        </w:rPr>
      </w:pPr>
    </w:p>
    <w:p w14:paraId="6AD1B9B6" w14:textId="77777777" w:rsidR="004557AD" w:rsidRPr="00DC3A9C" w:rsidRDefault="004D090B" w:rsidP="00AB368E">
      <w:pPr>
        <w:pStyle w:val="Heading2"/>
      </w:pPr>
      <w:r w:rsidRPr="00DC3A9C">
        <w:t>Data and Methods</w:t>
      </w:r>
    </w:p>
    <w:p w14:paraId="0ACE5BC7" w14:textId="77777777" w:rsidR="00376FFB" w:rsidRPr="006B4F05" w:rsidRDefault="00376FFB" w:rsidP="00CB6908">
      <w:pPr>
        <w:spacing w:line="360" w:lineRule="auto"/>
        <w:jc w:val="both"/>
        <w:rPr>
          <w:rFonts w:ascii="Times New Roman" w:hAnsi="Times New Roman" w:cs="Times New Roman"/>
          <w:i/>
          <w:sz w:val="24"/>
          <w:szCs w:val="24"/>
        </w:rPr>
      </w:pPr>
      <w:r w:rsidRPr="006B4F05">
        <w:rPr>
          <w:rFonts w:ascii="Times New Roman" w:hAnsi="Times New Roman" w:cs="Times New Roman"/>
          <w:i/>
          <w:sz w:val="24"/>
          <w:szCs w:val="24"/>
        </w:rPr>
        <w:t>2.1 Data</w:t>
      </w:r>
    </w:p>
    <w:p w14:paraId="29A3A10F" w14:textId="77777777" w:rsidR="00E967CC" w:rsidRDefault="00376FFB" w:rsidP="00423E4E">
      <w:pPr>
        <w:spacing w:line="360" w:lineRule="auto"/>
        <w:jc w:val="both"/>
        <w:rPr>
          <w:rFonts w:ascii="Times New Roman" w:hAnsi="Times New Roman" w:cs="Times New Roman"/>
          <w:sz w:val="24"/>
          <w:szCs w:val="24"/>
        </w:rPr>
      </w:pPr>
      <w:r w:rsidRPr="006B4F05">
        <w:rPr>
          <w:rFonts w:ascii="Times New Roman" w:hAnsi="Times New Roman" w:cs="Times New Roman"/>
          <w:sz w:val="24"/>
          <w:szCs w:val="24"/>
        </w:rPr>
        <w:t xml:space="preserve">The data used in the formulation of these projections </w:t>
      </w:r>
      <w:r w:rsidR="00CA5E3A">
        <w:rPr>
          <w:rFonts w:ascii="Times New Roman" w:hAnsi="Times New Roman" w:cs="Times New Roman"/>
          <w:sz w:val="24"/>
          <w:szCs w:val="24"/>
        </w:rPr>
        <w:t>were</w:t>
      </w:r>
      <w:r w:rsidRPr="006B4F05">
        <w:rPr>
          <w:rFonts w:ascii="Times New Roman" w:hAnsi="Times New Roman" w:cs="Times New Roman"/>
          <w:sz w:val="24"/>
          <w:szCs w:val="24"/>
        </w:rPr>
        <w:t xml:space="preserve"> sourced from Statistics New Zealand (SNZ). This includes national and subnational data from the five-yearly Census of Population and Dwellings (1991, 1996, 2001, 2006, 2013</w:t>
      </w:r>
      <w:r w:rsidR="007368E5">
        <w:rPr>
          <w:rFonts w:ascii="Times New Roman" w:hAnsi="Times New Roman" w:cs="Times New Roman"/>
          <w:sz w:val="24"/>
          <w:szCs w:val="24"/>
        </w:rPr>
        <w:t>, and 2018</w:t>
      </w:r>
      <w:r w:rsidRPr="006B4F05">
        <w:rPr>
          <w:rFonts w:ascii="Times New Roman" w:hAnsi="Times New Roman" w:cs="Times New Roman"/>
          <w:sz w:val="24"/>
          <w:szCs w:val="24"/>
        </w:rPr>
        <w:t xml:space="preserve">), </w:t>
      </w:r>
      <w:r w:rsidR="00863E53">
        <w:rPr>
          <w:rFonts w:ascii="Times New Roman" w:hAnsi="Times New Roman" w:cs="Times New Roman"/>
          <w:sz w:val="24"/>
          <w:szCs w:val="24"/>
        </w:rPr>
        <w:t xml:space="preserve">SNZ national and subnational population estimates, </w:t>
      </w:r>
      <w:r w:rsidRPr="006B4F05">
        <w:rPr>
          <w:rFonts w:ascii="Times New Roman" w:hAnsi="Times New Roman" w:cs="Times New Roman"/>
          <w:sz w:val="24"/>
          <w:szCs w:val="24"/>
        </w:rPr>
        <w:t xml:space="preserve">national and subnational period life tables, national and subnational vital statistics data, the SNZ subnational </w:t>
      </w:r>
      <w:r w:rsidR="00DC3A9C">
        <w:rPr>
          <w:rFonts w:ascii="Times New Roman" w:hAnsi="Times New Roman" w:cs="Times New Roman"/>
          <w:sz w:val="24"/>
          <w:szCs w:val="24"/>
        </w:rPr>
        <w:t>demographic</w:t>
      </w:r>
      <w:r w:rsidRPr="006B4F05">
        <w:rPr>
          <w:rFonts w:ascii="Times New Roman" w:hAnsi="Times New Roman" w:cs="Times New Roman"/>
          <w:sz w:val="24"/>
          <w:szCs w:val="24"/>
        </w:rPr>
        <w:t xml:space="preserve"> projections series, and the reported assumptions underlying those projections</w:t>
      </w:r>
      <w:r w:rsidR="007433F7" w:rsidRPr="006B4F05">
        <w:rPr>
          <w:rFonts w:ascii="Times New Roman" w:hAnsi="Times New Roman" w:cs="Times New Roman"/>
          <w:sz w:val="24"/>
          <w:szCs w:val="24"/>
        </w:rPr>
        <w:t>.</w:t>
      </w:r>
      <w:r w:rsidR="00423E4E">
        <w:rPr>
          <w:rFonts w:ascii="Times New Roman" w:hAnsi="Times New Roman" w:cs="Times New Roman"/>
          <w:sz w:val="24"/>
          <w:szCs w:val="24"/>
        </w:rPr>
        <w:t xml:space="preserve"> </w:t>
      </w:r>
      <w:r w:rsidR="00003007" w:rsidRPr="006B4F05">
        <w:rPr>
          <w:rFonts w:ascii="Times New Roman" w:hAnsi="Times New Roman" w:cs="Times New Roman"/>
          <w:sz w:val="24"/>
          <w:szCs w:val="24"/>
        </w:rPr>
        <w:t xml:space="preserve">The </w:t>
      </w:r>
      <w:r w:rsidR="00423E4E">
        <w:rPr>
          <w:rFonts w:ascii="Times New Roman" w:hAnsi="Times New Roman" w:cs="Times New Roman"/>
          <w:sz w:val="24"/>
          <w:szCs w:val="24"/>
        </w:rPr>
        <w:t xml:space="preserve">TA-level </w:t>
      </w:r>
      <w:r w:rsidR="00003007" w:rsidRPr="006B4F05">
        <w:rPr>
          <w:rFonts w:ascii="Times New Roman" w:hAnsi="Times New Roman" w:cs="Times New Roman"/>
          <w:sz w:val="24"/>
          <w:szCs w:val="24"/>
        </w:rPr>
        <w:t>boundaries for the projections are consistent with boundaries at the time of the 201</w:t>
      </w:r>
      <w:r w:rsidR="00423E4E">
        <w:rPr>
          <w:rFonts w:ascii="Times New Roman" w:hAnsi="Times New Roman" w:cs="Times New Roman"/>
          <w:sz w:val="24"/>
          <w:szCs w:val="24"/>
        </w:rPr>
        <w:t>8</w:t>
      </w:r>
      <w:r w:rsidR="00003007" w:rsidRPr="006B4F05">
        <w:rPr>
          <w:rFonts w:ascii="Times New Roman" w:hAnsi="Times New Roman" w:cs="Times New Roman"/>
          <w:sz w:val="24"/>
          <w:szCs w:val="24"/>
        </w:rPr>
        <w:t xml:space="preserve"> Census of Population and Dwellings. </w:t>
      </w:r>
    </w:p>
    <w:p w14:paraId="05668608" w14:textId="77777777" w:rsidR="00003007" w:rsidRPr="006B4F05" w:rsidRDefault="00863E53" w:rsidP="00863E53">
      <w:pPr>
        <w:spacing w:line="360" w:lineRule="auto"/>
        <w:jc w:val="both"/>
        <w:rPr>
          <w:rFonts w:ascii="Times New Roman" w:hAnsi="Times New Roman" w:cs="Times New Roman"/>
          <w:sz w:val="24"/>
          <w:szCs w:val="24"/>
        </w:rPr>
      </w:pPr>
      <w:r>
        <w:rPr>
          <w:rFonts w:ascii="Times New Roman" w:hAnsi="Times New Roman" w:cs="Times New Roman"/>
          <w:sz w:val="24"/>
          <w:szCs w:val="24"/>
        </w:rPr>
        <w:t>In each case, t</w:t>
      </w:r>
      <w:r w:rsidR="00003007" w:rsidRPr="00DB4964">
        <w:rPr>
          <w:rFonts w:ascii="Times New Roman" w:hAnsi="Times New Roman" w:cs="Times New Roman"/>
          <w:sz w:val="24"/>
          <w:szCs w:val="24"/>
        </w:rPr>
        <w:t xml:space="preserve">he </w:t>
      </w:r>
      <w:r>
        <w:rPr>
          <w:rFonts w:ascii="Times New Roman" w:hAnsi="Times New Roman" w:cs="Times New Roman"/>
          <w:sz w:val="24"/>
          <w:szCs w:val="24"/>
        </w:rPr>
        <w:t xml:space="preserve">TA-level </w:t>
      </w:r>
      <w:r w:rsidR="00003007" w:rsidRPr="00DB4964">
        <w:rPr>
          <w:rFonts w:ascii="Times New Roman" w:hAnsi="Times New Roman" w:cs="Times New Roman"/>
          <w:sz w:val="24"/>
          <w:szCs w:val="24"/>
        </w:rPr>
        <w:t xml:space="preserve">projections presented in this report are </w:t>
      </w:r>
      <w:r w:rsidR="00423E4E" w:rsidRPr="00DB4964">
        <w:rPr>
          <w:rFonts w:ascii="Times New Roman" w:hAnsi="Times New Roman" w:cs="Times New Roman"/>
          <w:sz w:val="24"/>
          <w:szCs w:val="24"/>
        </w:rPr>
        <w:t>for the whole territorial authority</w:t>
      </w:r>
      <w:r>
        <w:rPr>
          <w:rFonts w:ascii="Times New Roman" w:hAnsi="Times New Roman" w:cs="Times New Roman"/>
          <w:sz w:val="24"/>
          <w:szCs w:val="24"/>
        </w:rPr>
        <w:t>. In the case of the Waikato Region projections (see Section 4.12)</w:t>
      </w:r>
      <w:r w:rsidR="00423E4E" w:rsidRPr="00DB4964">
        <w:rPr>
          <w:rFonts w:ascii="Times New Roman" w:hAnsi="Times New Roman" w:cs="Times New Roman"/>
          <w:sz w:val="24"/>
          <w:szCs w:val="24"/>
        </w:rPr>
        <w:t>,</w:t>
      </w:r>
      <w:r>
        <w:rPr>
          <w:rFonts w:ascii="Times New Roman" w:hAnsi="Times New Roman" w:cs="Times New Roman"/>
          <w:sz w:val="24"/>
          <w:szCs w:val="24"/>
        </w:rPr>
        <w:t xml:space="preserve"> the projections are </w:t>
      </w:r>
      <w:r w:rsidR="00423E4E" w:rsidRPr="00DB4964">
        <w:rPr>
          <w:rFonts w:ascii="Times New Roman" w:hAnsi="Times New Roman" w:cs="Times New Roman"/>
          <w:sz w:val="24"/>
          <w:szCs w:val="24"/>
        </w:rPr>
        <w:t>for the whole</w:t>
      </w:r>
      <w:r w:rsidR="00423E4E">
        <w:rPr>
          <w:rFonts w:ascii="Times New Roman" w:hAnsi="Times New Roman" w:cs="Times New Roman"/>
          <w:sz w:val="24"/>
          <w:szCs w:val="24"/>
        </w:rPr>
        <w:t xml:space="preserve"> </w:t>
      </w:r>
      <w:r w:rsidR="00003007" w:rsidRPr="006B4F05">
        <w:rPr>
          <w:rFonts w:ascii="Times New Roman" w:hAnsi="Times New Roman" w:cs="Times New Roman"/>
          <w:sz w:val="24"/>
          <w:szCs w:val="24"/>
        </w:rPr>
        <w:t>Waikato Region.</w:t>
      </w:r>
      <w:r>
        <w:rPr>
          <w:rFonts w:ascii="Times New Roman" w:hAnsi="Times New Roman" w:cs="Times New Roman"/>
          <w:sz w:val="24"/>
          <w:szCs w:val="24"/>
        </w:rPr>
        <w:t xml:space="preserve"> The regional projections require some post-hoc calculations because of the inconsistency in boundaries between TAs and the region. </w:t>
      </w:r>
      <w:r w:rsidR="00423E4E">
        <w:rPr>
          <w:rFonts w:ascii="Times New Roman" w:hAnsi="Times New Roman" w:cs="Times New Roman"/>
          <w:sz w:val="24"/>
          <w:szCs w:val="24"/>
        </w:rPr>
        <w:t xml:space="preserve">Specifically, </w:t>
      </w:r>
      <w:r>
        <w:rPr>
          <w:rFonts w:ascii="Times New Roman" w:hAnsi="Times New Roman" w:cs="Times New Roman"/>
          <w:sz w:val="24"/>
          <w:szCs w:val="24"/>
        </w:rPr>
        <w:t xml:space="preserve">in the Waikato region projections </w:t>
      </w:r>
      <w:r w:rsidR="00423E4E">
        <w:rPr>
          <w:rFonts w:ascii="Times New Roman" w:hAnsi="Times New Roman" w:cs="Times New Roman"/>
          <w:sz w:val="24"/>
          <w:szCs w:val="24"/>
        </w:rPr>
        <w:t>we assume that the proportion of the TA-level population</w:t>
      </w:r>
      <w:r>
        <w:rPr>
          <w:rFonts w:ascii="Times New Roman" w:hAnsi="Times New Roman" w:cs="Times New Roman"/>
          <w:sz w:val="24"/>
          <w:szCs w:val="24"/>
        </w:rPr>
        <w:t xml:space="preserve"> (and families and households, and labour force)</w:t>
      </w:r>
      <w:r w:rsidR="00423E4E">
        <w:rPr>
          <w:rFonts w:ascii="Times New Roman" w:hAnsi="Times New Roman" w:cs="Times New Roman"/>
          <w:sz w:val="24"/>
          <w:szCs w:val="24"/>
        </w:rPr>
        <w:t xml:space="preserve"> that lives outside of the region (for Waitomo and Taupo Districts), </w:t>
      </w:r>
      <w:r>
        <w:rPr>
          <w:rFonts w:ascii="Times New Roman" w:hAnsi="Times New Roman" w:cs="Times New Roman"/>
          <w:sz w:val="24"/>
          <w:szCs w:val="24"/>
        </w:rPr>
        <w:t>and</w:t>
      </w:r>
      <w:r w:rsidR="00423E4E">
        <w:rPr>
          <w:rFonts w:ascii="Times New Roman" w:hAnsi="Times New Roman" w:cs="Times New Roman"/>
          <w:sz w:val="24"/>
          <w:szCs w:val="24"/>
        </w:rPr>
        <w:t xml:space="preserve"> the proportion of the TA-level population</w:t>
      </w:r>
      <w:r>
        <w:rPr>
          <w:rFonts w:ascii="Times New Roman" w:hAnsi="Times New Roman" w:cs="Times New Roman"/>
          <w:sz w:val="24"/>
          <w:szCs w:val="24"/>
        </w:rPr>
        <w:t xml:space="preserve"> (and families and households, and labour force)</w:t>
      </w:r>
      <w:r w:rsidR="00423E4E">
        <w:rPr>
          <w:rFonts w:ascii="Times New Roman" w:hAnsi="Times New Roman" w:cs="Times New Roman"/>
          <w:sz w:val="24"/>
          <w:szCs w:val="24"/>
        </w:rPr>
        <w:t xml:space="preserve"> that lives inside the region (for Rotorua District)</w:t>
      </w:r>
      <w:r>
        <w:rPr>
          <w:rFonts w:ascii="Times New Roman" w:hAnsi="Times New Roman" w:cs="Times New Roman"/>
          <w:sz w:val="24"/>
          <w:szCs w:val="24"/>
        </w:rPr>
        <w:t>,</w:t>
      </w:r>
      <w:r w:rsidR="00423E4E">
        <w:rPr>
          <w:rFonts w:ascii="Times New Roman" w:hAnsi="Times New Roman" w:cs="Times New Roman"/>
          <w:sz w:val="24"/>
          <w:szCs w:val="24"/>
        </w:rPr>
        <w:t xml:space="preserve"> remains constant over time</w:t>
      </w:r>
      <w:r w:rsidR="00003007" w:rsidRPr="006B4F05">
        <w:rPr>
          <w:rFonts w:ascii="Times New Roman" w:hAnsi="Times New Roman" w:cs="Times New Roman"/>
          <w:sz w:val="24"/>
          <w:szCs w:val="24"/>
        </w:rPr>
        <w:t>.</w:t>
      </w:r>
    </w:p>
    <w:p w14:paraId="4930A29E" w14:textId="77777777" w:rsidR="00376FFB" w:rsidRPr="006B4F05" w:rsidRDefault="00376FFB" w:rsidP="00CB6908">
      <w:pPr>
        <w:spacing w:line="360" w:lineRule="auto"/>
        <w:jc w:val="both"/>
        <w:rPr>
          <w:rFonts w:ascii="Times New Roman" w:hAnsi="Times New Roman" w:cs="Times New Roman"/>
          <w:sz w:val="24"/>
          <w:szCs w:val="24"/>
        </w:rPr>
      </w:pPr>
    </w:p>
    <w:p w14:paraId="69DB6CB3" w14:textId="77777777" w:rsidR="00376FFB" w:rsidRPr="006B4F05" w:rsidRDefault="00376FFB" w:rsidP="00376FFB">
      <w:pPr>
        <w:spacing w:line="360" w:lineRule="auto"/>
        <w:jc w:val="both"/>
        <w:rPr>
          <w:rFonts w:ascii="Times New Roman" w:hAnsi="Times New Roman" w:cs="Times New Roman"/>
          <w:i/>
          <w:sz w:val="24"/>
          <w:szCs w:val="24"/>
        </w:rPr>
      </w:pPr>
      <w:r w:rsidRPr="00DC3A9C">
        <w:rPr>
          <w:rFonts w:ascii="Times New Roman" w:hAnsi="Times New Roman" w:cs="Times New Roman"/>
          <w:i/>
          <w:sz w:val="24"/>
          <w:szCs w:val="24"/>
        </w:rPr>
        <w:t>2.2 The Cohort Component Model</w:t>
      </w:r>
    </w:p>
    <w:p w14:paraId="21E5FF0C" w14:textId="77777777" w:rsidR="00826A78" w:rsidRDefault="00376FFB" w:rsidP="00826A78">
      <w:pPr>
        <w:spacing w:line="360" w:lineRule="auto"/>
        <w:jc w:val="both"/>
        <w:rPr>
          <w:rFonts w:ascii="Times New Roman" w:hAnsi="Times New Roman" w:cs="Times New Roman"/>
          <w:sz w:val="24"/>
          <w:szCs w:val="24"/>
        </w:rPr>
      </w:pPr>
      <w:r w:rsidRPr="006B4F05">
        <w:rPr>
          <w:rFonts w:ascii="Times New Roman" w:hAnsi="Times New Roman" w:cs="Times New Roman"/>
          <w:sz w:val="24"/>
          <w:szCs w:val="24"/>
        </w:rPr>
        <w:t xml:space="preserve">The most common methodology </w:t>
      </w:r>
      <w:r w:rsidR="00FD06A5">
        <w:rPr>
          <w:rFonts w:ascii="Times New Roman" w:hAnsi="Times New Roman" w:cs="Times New Roman"/>
          <w:sz w:val="24"/>
          <w:szCs w:val="24"/>
        </w:rPr>
        <w:t>used to generate</w:t>
      </w:r>
      <w:r w:rsidRPr="006B4F05">
        <w:rPr>
          <w:rFonts w:ascii="Times New Roman" w:hAnsi="Times New Roman" w:cs="Times New Roman"/>
          <w:sz w:val="24"/>
          <w:szCs w:val="24"/>
        </w:rPr>
        <w:t xml:space="preserve"> population projections </w:t>
      </w:r>
      <w:r w:rsidR="00FD06A5">
        <w:rPr>
          <w:rFonts w:ascii="Times New Roman" w:hAnsi="Times New Roman" w:cs="Times New Roman"/>
          <w:sz w:val="24"/>
          <w:szCs w:val="24"/>
        </w:rPr>
        <w:t>relies on</w:t>
      </w:r>
      <w:r w:rsidRPr="006B4F05">
        <w:rPr>
          <w:rFonts w:ascii="Times New Roman" w:hAnsi="Times New Roman" w:cs="Times New Roman"/>
          <w:sz w:val="24"/>
          <w:szCs w:val="24"/>
        </w:rPr>
        <w:t xml:space="preserve"> the cohort component model</w:t>
      </w:r>
      <w:r w:rsidR="00826A78">
        <w:rPr>
          <w:rFonts w:ascii="Times New Roman" w:hAnsi="Times New Roman" w:cs="Times New Roman"/>
          <w:sz w:val="24"/>
          <w:szCs w:val="24"/>
        </w:rPr>
        <w:t>, which dates back at least to Whelpton (1928)</w:t>
      </w:r>
      <w:r w:rsidRPr="006B4F05">
        <w:rPr>
          <w:rFonts w:ascii="Times New Roman" w:hAnsi="Times New Roman" w:cs="Times New Roman"/>
          <w:sz w:val="24"/>
          <w:szCs w:val="24"/>
        </w:rPr>
        <w:t>. This is the methodology used by SNZ, the major supplier of data on current and projected population size, growth and structure for New Zealand regions and districts. In recent years</w:t>
      </w:r>
      <w:r w:rsidR="00423E4E">
        <w:rPr>
          <w:rFonts w:ascii="Times New Roman" w:hAnsi="Times New Roman" w:cs="Times New Roman"/>
          <w:sz w:val="24"/>
          <w:szCs w:val="24"/>
        </w:rPr>
        <w:t>,</w:t>
      </w:r>
      <w:r w:rsidRPr="006B4F05">
        <w:rPr>
          <w:rFonts w:ascii="Times New Roman" w:hAnsi="Times New Roman" w:cs="Times New Roman"/>
          <w:sz w:val="24"/>
          <w:szCs w:val="24"/>
        </w:rPr>
        <w:t xml:space="preserve"> new methodologies have been developed for population projections, such as stochastic and microsimulation approaches (see e.g. </w:t>
      </w:r>
      <w:proofErr w:type="spellStart"/>
      <w:r w:rsidRPr="006B4F05">
        <w:rPr>
          <w:rFonts w:ascii="Times New Roman" w:hAnsi="Times New Roman" w:cs="Times New Roman"/>
          <w:sz w:val="24"/>
          <w:szCs w:val="24"/>
        </w:rPr>
        <w:t>Dharmalingam</w:t>
      </w:r>
      <w:proofErr w:type="spellEnd"/>
      <w:r w:rsidRPr="006B4F05">
        <w:rPr>
          <w:rFonts w:ascii="Times New Roman" w:hAnsi="Times New Roman" w:cs="Times New Roman"/>
          <w:sz w:val="24"/>
          <w:szCs w:val="24"/>
        </w:rPr>
        <w:t xml:space="preserve"> and Pool, 2006). This report </w:t>
      </w:r>
      <w:r w:rsidR="00423E4E">
        <w:rPr>
          <w:rFonts w:ascii="Times New Roman" w:hAnsi="Times New Roman" w:cs="Times New Roman"/>
          <w:sz w:val="24"/>
          <w:szCs w:val="24"/>
        </w:rPr>
        <w:t xml:space="preserve">adopts a new methodology for the cohort component model, improving on the </w:t>
      </w:r>
      <w:r w:rsidRPr="006B4F05">
        <w:rPr>
          <w:rFonts w:ascii="Times New Roman" w:hAnsi="Times New Roman" w:cs="Times New Roman"/>
          <w:sz w:val="24"/>
          <w:szCs w:val="24"/>
        </w:rPr>
        <w:t xml:space="preserve">methodology </w:t>
      </w:r>
      <w:r w:rsidR="00423E4E">
        <w:rPr>
          <w:rFonts w:ascii="Times New Roman" w:hAnsi="Times New Roman" w:cs="Times New Roman"/>
          <w:sz w:val="24"/>
          <w:szCs w:val="24"/>
        </w:rPr>
        <w:t xml:space="preserve">originally </w:t>
      </w:r>
      <w:r w:rsidRPr="006B4F05">
        <w:rPr>
          <w:rFonts w:ascii="Times New Roman" w:hAnsi="Times New Roman" w:cs="Times New Roman"/>
          <w:sz w:val="24"/>
          <w:szCs w:val="24"/>
        </w:rPr>
        <w:t>developed by Cameron et al. (200</w:t>
      </w:r>
      <w:r w:rsidR="00826A78">
        <w:rPr>
          <w:rFonts w:ascii="Times New Roman" w:hAnsi="Times New Roman" w:cs="Times New Roman"/>
          <w:sz w:val="24"/>
          <w:szCs w:val="24"/>
        </w:rPr>
        <w:t>7; 2008</w:t>
      </w:r>
      <w:r w:rsidRPr="006B4F05">
        <w:rPr>
          <w:rFonts w:ascii="Times New Roman" w:hAnsi="Times New Roman" w:cs="Times New Roman"/>
          <w:sz w:val="24"/>
          <w:szCs w:val="24"/>
        </w:rPr>
        <w:t>)</w:t>
      </w:r>
      <w:r w:rsidR="00DC3A9C">
        <w:rPr>
          <w:rFonts w:ascii="Times New Roman" w:hAnsi="Times New Roman" w:cs="Times New Roman"/>
          <w:sz w:val="24"/>
          <w:szCs w:val="24"/>
        </w:rPr>
        <w:t xml:space="preserve"> and used in</w:t>
      </w:r>
      <w:r w:rsidR="00423E4E">
        <w:rPr>
          <w:rFonts w:ascii="Times New Roman" w:hAnsi="Times New Roman" w:cs="Times New Roman"/>
          <w:sz w:val="24"/>
          <w:szCs w:val="24"/>
        </w:rPr>
        <w:t xml:space="preserve"> subsequent projections</w:t>
      </w:r>
      <w:r w:rsidR="00DC3A9C">
        <w:rPr>
          <w:rFonts w:ascii="Times New Roman" w:hAnsi="Times New Roman" w:cs="Times New Roman"/>
          <w:sz w:val="24"/>
          <w:szCs w:val="24"/>
        </w:rPr>
        <w:t xml:space="preserve"> </w:t>
      </w:r>
      <w:r w:rsidR="00826A78">
        <w:rPr>
          <w:rFonts w:ascii="Times New Roman" w:hAnsi="Times New Roman" w:cs="Times New Roman"/>
          <w:sz w:val="24"/>
          <w:szCs w:val="24"/>
        </w:rPr>
        <w:t>(</w:t>
      </w:r>
      <w:r w:rsidR="00826A78" w:rsidRPr="00826A78">
        <w:rPr>
          <w:rFonts w:ascii="Times New Roman" w:hAnsi="Times New Roman" w:cs="Times New Roman"/>
          <w:sz w:val="24"/>
          <w:szCs w:val="24"/>
        </w:rPr>
        <w:t>Cameron 2020a; 2020b; 2020c; Cameron and Cochrane, 2014a; 2015; 2016; Jackson et al., 2014b</w:t>
      </w:r>
      <w:r w:rsidR="00826A78">
        <w:rPr>
          <w:rFonts w:ascii="Times New Roman" w:hAnsi="Times New Roman" w:cs="Times New Roman"/>
          <w:sz w:val="24"/>
          <w:szCs w:val="24"/>
        </w:rPr>
        <w:t>).</w:t>
      </w:r>
    </w:p>
    <w:p w14:paraId="0F76380B" w14:textId="77777777" w:rsidR="00376FFB" w:rsidRPr="006B4F05" w:rsidRDefault="00AE5ED9" w:rsidP="00F91463">
      <w:pPr>
        <w:spacing w:line="360" w:lineRule="auto"/>
        <w:jc w:val="both"/>
        <w:rPr>
          <w:rFonts w:ascii="Times New Roman" w:hAnsi="Times New Roman" w:cs="Times New Roman"/>
          <w:sz w:val="24"/>
          <w:szCs w:val="24"/>
        </w:rPr>
      </w:pPr>
      <w:r w:rsidRPr="006B4F05">
        <w:rPr>
          <w:rFonts w:ascii="Times New Roman" w:hAnsi="Times New Roman" w:cs="Times New Roman"/>
          <w:sz w:val="24"/>
          <w:szCs w:val="24"/>
        </w:rPr>
        <w:lastRenderedPageBreak/>
        <w:t>T</w:t>
      </w:r>
      <w:r w:rsidR="00376FFB" w:rsidRPr="006B4F05">
        <w:rPr>
          <w:rFonts w:ascii="Times New Roman" w:hAnsi="Times New Roman" w:cs="Times New Roman"/>
          <w:sz w:val="24"/>
          <w:szCs w:val="24"/>
        </w:rPr>
        <w:t>he general approach that was used in developing the population projections</w:t>
      </w:r>
      <w:r w:rsidRPr="006B4F05">
        <w:rPr>
          <w:rFonts w:ascii="Times New Roman" w:hAnsi="Times New Roman" w:cs="Times New Roman"/>
          <w:sz w:val="24"/>
          <w:szCs w:val="24"/>
        </w:rPr>
        <w:t xml:space="preserve"> is as follows</w:t>
      </w:r>
      <w:r w:rsidR="00376FFB" w:rsidRPr="006B4F05">
        <w:rPr>
          <w:rFonts w:ascii="Times New Roman" w:hAnsi="Times New Roman" w:cs="Times New Roman"/>
          <w:sz w:val="24"/>
          <w:szCs w:val="24"/>
        </w:rPr>
        <w:t xml:space="preserve">. The current population (base population) is first defined, and then assumptions are made about demographic changes to this population, </w:t>
      </w:r>
      <w:r w:rsidR="00F91463">
        <w:rPr>
          <w:rFonts w:ascii="Times New Roman" w:hAnsi="Times New Roman" w:cs="Times New Roman"/>
          <w:sz w:val="24"/>
          <w:szCs w:val="24"/>
        </w:rPr>
        <w:t>which are then applied using</w:t>
      </w:r>
      <w:r w:rsidR="00376FFB" w:rsidRPr="006B4F05">
        <w:rPr>
          <w:rFonts w:ascii="Times New Roman" w:hAnsi="Times New Roman" w:cs="Times New Roman"/>
          <w:sz w:val="24"/>
          <w:szCs w:val="24"/>
        </w:rPr>
        <w:t xml:space="preserve"> the cohort component model. Th</w:t>
      </w:r>
      <w:r w:rsidR="00F91463">
        <w:rPr>
          <w:rFonts w:ascii="Times New Roman" w:hAnsi="Times New Roman" w:cs="Times New Roman"/>
          <w:sz w:val="24"/>
          <w:szCs w:val="24"/>
        </w:rPr>
        <w:t xml:space="preserve">e </w:t>
      </w:r>
      <w:r w:rsidR="00F91463" w:rsidRPr="006B4F05">
        <w:rPr>
          <w:rFonts w:ascii="Times New Roman" w:hAnsi="Times New Roman" w:cs="Times New Roman"/>
          <w:sz w:val="24"/>
          <w:szCs w:val="24"/>
        </w:rPr>
        <w:t xml:space="preserve">cohort component model </w:t>
      </w:r>
      <w:r w:rsidR="00F91463">
        <w:rPr>
          <w:rFonts w:ascii="Times New Roman" w:hAnsi="Times New Roman" w:cs="Times New Roman"/>
          <w:sz w:val="24"/>
          <w:szCs w:val="24"/>
        </w:rPr>
        <w:t xml:space="preserve">is </w:t>
      </w:r>
      <w:r w:rsidR="00376FFB" w:rsidRPr="006B4F05">
        <w:rPr>
          <w:rFonts w:ascii="Times New Roman" w:hAnsi="Times New Roman" w:cs="Times New Roman"/>
          <w:sz w:val="24"/>
          <w:szCs w:val="24"/>
        </w:rPr>
        <w:t xml:space="preserve">a stock-flow model that is based on the following fundamental </w:t>
      </w:r>
      <w:r w:rsidR="00F91463">
        <w:rPr>
          <w:rFonts w:ascii="Times New Roman" w:hAnsi="Times New Roman" w:cs="Times New Roman"/>
          <w:sz w:val="24"/>
          <w:szCs w:val="24"/>
        </w:rPr>
        <w:t>‘</w:t>
      </w:r>
      <w:r w:rsidR="00376FFB" w:rsidRPr="006B4F05">
        <w:rPr>
          <w:rFonts w:ascii="Times New Roman" w:hAnsi="Times New Roman" w:cs="Times New Roman"/>
          <w:sz w:val="24"/>
          <w:szCs w:val="24"/>
        </w:rPr>
        <w:t>accounting identity</w:t>
      </w:r>
      <w:r w:rsidR="00F91463">
        <w:rPr>
          <w:rFonts w:ascii="Times New Roman" w:hAnsi="Times New Roman" w:cs="Times New Roman"/>
          <w:sz w:val="24"/>
          <w:szCs w:val="24"/>
        </w:rPr>
        <w:t>’</w:t>
      </w:r>
      <w:r w:rsidR="00376FFB" w:rsidRPr="006B4F05">
        <w:rPr>
          <w:rFonts w:ascii="Times New Roman" w:hAnsi="Times New Roman" w:cs="Times New Roman"/>
          <w:sz w:val="24"/>
          <w:szCs w:val="24"/>
        </w:rPr>
        <w:t xml:space="preserve"> of population growth:</w:t>
      </w:r>
    </w:p>
    <w:p w14:paraId="4550B8D1" w14:textId="77777777" w:rsidR="00376FFB" w:rsidRPr="006B4F05" w:rsidRDefault="00376FFB" w:rsidP="00376FFB">
      <w:pPr>
        <w:spacing w:line="360" w:lineRule="auto"/>
        <w:ind w:firstLine="720"/>
        <w:jc w:val="both"/>
        <w:rPr>
          <w:rFonts w:ascii="Times New Roman" w:hAnsi="Times New Roman" w:cs="Times New Roman"/>
          <w:sz w:val="24"/>
          <w:szCs w:val="24"/>
        </w:rPr>
      </w:pPr>
      <w:r w:rsidRPr="006B4F05">
        <w:rPr>
          <w:rFonts w:ascii="Times New Roman" w:hAnsi="Times New Roman" w:cs="Times New Roman"/>
          <w:sz w:val="24"/>
          <w:szCs w:val="24"/>
        </w:rPr>
        <w:t xml:space="preserve">usually resident population in area </w:t>
      </w:r>
      <w:proofErr w:type="spellStart"/>
      <w:r w:rsidRPr="006B4F05">
        <w:rPr>
          <w:rFonts w:ascii="Times New Roman" w:hAnsi="Times New Roman" w:cs="Times New Roman"/>
          <w:i/>
          <w:sz w:val="24"/>
          <w:szCs w:val="24"/>
        </w:rPr>
        <w:t>i</w:t>
      </w:r>
      <w:proofErr w:type="spellEnd"/>
      <w:r w:rsidRPr="006B4F05">
        <w:rPr>
          <w:rFonts w:ascii="Times New Roman" w:hAnsi="Times New Roman" w:cs="Times New Roman"/>
          <w:sz w:val="24"/>
          <w:szCs w:val="24"/>
        </w:rPr>
        <w:t xml:space="preserve"> at the end of year </w:t>
      </w:r>
      <w:r w:rsidRPr="006B4F05">
        <w:rPr>
          <w:rFonts w:ascii="Times New Roman" w:hAnsi="Times New Roman" w:cs="Times New Roman"/>
          <w:i/>
          <w:sz w:val="24"/>
          <w:szCs w:val="24"/>
        </w:rPr>
        <w:t>t</w:t>
      </w:r>
      <w:r w:rsidRPr="006B4F05">
        <w:rPr>
          <w:rFonts w:ascii="Times New Roman" w:hAnsi="Times New Roman" w:cs="Times New Roman"/>
          <w:sz w:val="24"/>
          <w:szCs w:val="24"/>
        </w:rPr>
        <w:t xml:space="preserve"> </w:t>
      </w:r>
    </w:p>
    <w:p w14:paraId="44CEF3F4" w14:textId="77777777" w:rsidR="00376FFB" w:rsidRPr="006B4F05" w:rsidRDefault="00376FFB" w:rsidP="00376FFB">
      <w:pPr>
        <w:spacing w:line="360" w:lineRule="auto"/>
        <w:ind w:firstLine="720"/>
        <w:jc w:val="both"/>
        <w:rPr>
          <w:rFonts w:ascii="Times New Roman" w:hAnsi="Times New Roman" w:cs="Times New Roman"/>
          <w:sz w:val="24"/>
          <w:szCs w:val="24"/>
        </w:rPr>
      </w:pPr>
      <w:r w:rsidRPr="006B4F05">
        <w:rPr>
          <w:rFonts w:ascii="Times New Roman" w:hAnsi="Times New Roman" w:cs="Times New Roman"/>
          <w:sz w:val="24"/>
          <w:szCs w:val="24"/>
        </w:rPr>
        <w:t xml:space="preserve">= usually resident population in area </w:t>
      </w:r>
      <w:proofErr w:type="spellStart"/>
      <w:r w:rsidRPr="006B4F05">
        <w:rPr>
          <w:rFonts w:ascii="Times New Roman" w:hAnsi="Times New Roman" w:cs="Times New Roman"/>
          <w:i/>
          <w:sz w:val="24"/>
          <w:szCs w:val="24"/>
        </w:rPr>
        <w:t>i</w:t>
      </w:r>
      <w:proofErr w:type="spellEnd"/>
      <w:r w:rsidRPr="006B4F05">
        <w:rPr>
          <w:rFonts w:ascii="Times New Roman" w:hAnsi="Times New Roman" w:cs="Times New Roman"/>
          <w:sz w:val="24"/>
          <w:szCs w:val="24"/>
        </w:rPr>
        <w:t xml:space="preserve"> at the beginning of year </w:t>
      </w:r>
      <w:r w:rsidRPr="006B4F05">
        <w:rPr>
          <w:rFonts w:ascii="Times New Roman" w:hAnsi="Times New Roman" w:cs="Times New Roman"/>
          <w:i/>
          <w:sz w:val="24"/>
          <w:szCs w:val="24"/>
        </w:rPr>
        <w:t>t</w:t>
      </w:r>
      <w:r w:rsidRPr="006B4F05">
        <w:rPr>
          <w:rFonts w:ascii="Times New Roman" w:hAnsi="Times New Roman" w:cs="Times New Roman"/>
          <w:sz w:val="24"/>
          <w:szCs w:val="24"/>
        </w:rPr>
        <w:t xml:space="preserve"> </w:t>
      </w:r>
    </w:p>
    <w:p w14:paraId="5271C329" w14:textId="77777777" w:rsidR="00376FFB" w:rsidRPr="006B4F05" w:rsidRDefault="00376FFB" w:rsidP="00376FFB">
      <w:pPr>
        <w:spacing w:line="360" w:lineRule="auto"/>
        <w:ind w:firstLine="720"/>
        <w:jc w:val="both"/>
        <w:rPr>
          <w:rFonts w:ascii="Times New Roman" w:hAnsi="Times New Roman" w:cs="Times New Roman"/>
          <w:sz w:val="24"/>
          <w:szCs w:val="24"/>
        </w:rPr>
      </w:pPr>
      <w:r w:rsidRPr="006B4F05">
        <w:rPr>
          <w:rFonts w:ascii="Times New Roman" w:hAnsi="Times New Roman" w:cs="Times New Roman"/>
          <w:sz w:val="24"/>
          <w:szCs w:val="24"/>
        </w:rPr>
        <w:t xml:space="preserve">+ births to mothers residing in area </w:t>
      </w:r>
      <w:proofErr w:type="spellStart"/>
      <w:r w:rsidRPr="006B4F05">
        <w:rPr>
          <w:rFonts w:ascii="Times New Roman" w:hAnsi="Times New Roman" w:cs="Times New Roman"/>
          <w:i/>
          <w:sz w:val="24"/>
          <w:szCs w:val="24"/>
        </w:rPr>
        <w:t>i</w:t>
      </w:r>
      <w:proofErr w:type="spellEnd"/>
      <w:r w:rsidRPr="006B4F05">
        <w:rPr>
          <w:rFonts w:ascii="Times New Roman" w:hAnsi="Times New Roman" w:cs="Times New Roman"/>
          <w:sz w:val="24"/>
          <w:szCs w:val="24"/>
        </w:rPr>
        <w:t xml:space="preserve"> during year </w:t>
      </w:r>
      <w:r w:rsidRPr="006B4F05">
        <w:rPr>
          <w:rFonts w:ascii="Times New Roman" w:hAnsi="Times New Roman" w:cs="Times New Roman"/>
          <w:i/>
          <w:sz w:val="24"/>
          <w:szCs w:val="24"/>
        </w:rPr>
        <w:t>t</w:t>
      </w:r>
    </w:p>
    <w:p w14:paraId="7158EED5" w14:textId="77777777" w:rsidR="00376FFB" w:rsidRPr="006B4F05" w:rsidRDefault="00376FFB" w:rsidP="00376FFB">
      <w:pPr>
        <w:spacing w:line="360" w:lineRule="auto"/>
        <w:ind w:firstLine="720"/>
        <w:jc w:val="both"/>
        <w:rPr>
          <w:rFonts w:ascii="Times New Roman" w:hAnsi="Times New Roman" w:cs="Times New Roman"/>
          <w:sz w:val="24"/>
          <w:szCs w:val="24"/>
        </w:rPr>
      </w:pPr>
      <w:r w:rsidRPr="006B4F05">
        <w:rPr>
          <w:rFonts w:ascii="Times New Roman" w:hAnsi="Times New Roman" w:cs="Times New Roman"/>
          <w:sz w:val="24"/>
          <w:szCs w:val="24"/>
        </w:rPr>
        <w:t xml:space="preserve">– deaths of residents of area </w:t>
      </w:r>
      <w:proofErr w:type="spellStart"/>
      <w:r w:rsidRPr="006B4F05">
        <w:rPr>
          <w:rFonts w:ascii="Times New Roman" w:hAnsi="Times New Roman" w:cs="Times New Roman"/>
          <w:i/>
          <w:sz w:val="24"/>
          <w:szCs w:val="24"/>
        </w:rPr>
        <w:t>i</w:t>
      </w:r>
      <w:proofErr w:type="spellEnd"/>
      <w:r w:rsidRPr="006B4F05">
        <w:rPr>
          <w:rFonts w:ascii="Times New Roman" w:hAnsi="Times New Roman" w:cs="Times New Roman"/>
          <w:i/>
          <w:sz w:val="24"/>
          <w:szCs w:val="24"/>
        </w:rPr>
        <w:t xml:space="preserve"> </w:t>
      </w:r>
      <w:r w:rsidRPr="006B4F05">
        <w:rPr>
          <w:rFonts w:ascii="Times New Roman" w:hAnsi="Times New Roman" w:cs="Times New Roman"/>
          <w:sz w:val="24"/>
          <w:szCs w:val="24"/>
        </w:rPr>
        <w:t xml:space="preserve">during year </w:t>
      </w:r>
      <w:r w:rsidRPr="006B4F05">
        <w:rPr>
          <w:rFonts w:ascii="Times New Roman" w:hAnsi="Times New Roman" w:cs="Times New Roman"/>
          <w:i/>
          <w:sz w:val="24"/>
          <w:szCs w:val="24"/>
        </w:rPr>
        <w:t>t</w:t>
      </w:r>
      <w:r w:rsidRPr="006B4F05">
        <w:rPr>
          <w:rFonts w:ascii="Times New Roman" w:hAnsi="Times New Roman" w:cs="Times New Roman"/>
          <w:sz w:val="24"/>
          <w:szCs w:val="24"/>
        </w:rPr>
        <w:t xml:space="preserve"> </w:t>
      </w:r>
    </w:p>
    <w:p w14:paraId="7BCF53A4" w14:textId="77777777" w:rsidR="00376FFB" w:rsidRPr="006B4F05" w:rsidRDefault="00376FFB" w:rsidP="00423E4E">
      <w:pPr>
        <w:spacing w:line="360" w:lineRule="auto"/>
        <w:ind w:firstLine="720"/>
        <w:jc w:val="both"/>
        <w:rPr>
          <w:rFonts w:ascii="Times New Roman" w:hAnsi="Times New Roman" w:cs="Times New Roman"/>
          <w:sz w:val="24"/>
          <w:szCs w:val="24"/>
        </w:rPr>
      </w:pPr>
      <w:r w:rsidRPr="006B4F05">
        <w:rPr>
          <w:rFonts w:ascii="Times New Roman" w:hAnsi="Times New Roman" w:cs="Times New Roman"/>
          <w:sz w:val="24"/>
          <w:szCs w:val="24"/>
        </w:rPr>
        <w:t xml:space="preserve">+ inward migration from other regions into region </w:t>
      </w:r>
      <w:proofErr w:type="spellStart"/>
      <w:r w:rsidRPr="006B4F05">
        <w:rPr>
          <w:rFonts w:ascii="Times New Roman" w:hAnsi="Times New Roman" w:cs="Times New Roman"/>
          <w:i/>
          <w:sz w:val="24"/>
          <w:szCs w:val="24"/>
        </w:rPr>
        <w:t>i</w:t>
      </w:r>
      <w:proofErr w:type="spellEnd"/>
      <w:r w:rsidRPr="006B4F05">
        <w:rPr>
          <w:rFonts w:ascii="Times New Roman" w:hAnsi="Times New Roman" w:cs="Times New Roman"/>
          <w:i/>
          <w:sz w:val="24"/>
          <w:szCs w:val="24"/>
        </w:rPr>
        <w:t xml:space="preserve"> </w:t>
      </w:r>
      <w:r w:rsidRPr="006B4F05">
        <w:rPr>
          <w:rFonts w:ascii="Times New Roman" w:hAnsi="Times New Roman" w:cs="Times New Roman"/>
          <w:sz w:val="24"/>
          <w:szCs w:val="24"/>
        </w:rPr>
        <w:t xml:space="preserve">during year </w:t>
      </w:r>
      <w:r w:rsidRPr="006B4F05">
        <w:rPr>
          <w:rFonts w:ascii="Times New Roman" w:hAnsi="Times New Roman" w:cs="Times New Roman"/>
          <w:i/>
          <w:sz w:val="24"/>
          <w:szCs w:val="24"/>
        </w:rPr>
        <w:t>t</w:t>
      </w:r>
      <w:r w:rsidRPr="006B4F05">
        <w:rPr>
          <w:rFonts w:ascii="Times New Roman" w:hAnsi="Times New Roman" w:cs="Times New Roman"/>
          <w:sz w:val="24"/>
          <w:szCs w:val="24"/>
        </w:rPr>
        <w:t xml:space="preserve">  </w:t>
      </w:r>
    </w:p>
    <w:p w14:paraId="5BC8BAEE" w14:textId="77777777" w:rsidR="00376FFB" w:rsidRPr="006B4F05" w:rsidRDefault="00376FFB" w:rsidP="00423E4E">
      <w:pPr>
        <w:spacing w:line="360" w:lineRule="auto"/>
        <w:ind w:left="720"/>
        <w:jc w:val="both"/>
        <w:rPr>
          <w:rFonts w:ascii="Times New Roman" w:hAnsi="Times New Roman" w:cs="Times New Roman"/>
          <w:sz w:val="24"/>
          <w:szCs w:val="24"/>
        </w:rPr>
      </w:pPr>
      <w:r w:rsidRPr="006B4F05">
        <w:rPr>
          <w:rFonts w:ascii="Times New Roman" w:hAnsi="Times New Roman" w:cs="Times New Roman"/>
          <w:sz w:val="24"/>
          <w:szCs w:val="24"/>
        </w:rPr>
        <w:t xml:space="preserve">– outward migration of residents from area </w:t>
      </w:r>
      <w:proofErr w:type="spellStart"/>
      <w:r w:rsidRPr="006B4F05">
        <w:rPr>
          <w:rFonts w:ascii="Times New Roman" w:hAnsi="Times New Roman" w:cs="Times New Roman"/>
          <w:i/>
          <w:sz w:val="24"/>
          <w:szCs w:val="24"/>
        </w:rPr>
        <w:t>i</w:t>
      </w:r>
      <w:proofErr w:type="spellEnd"/>
      <w:r w:rsidRPr="006B4F05">
        <w:rPr>
          <w:rFonts w:ascii="Times New Roman" w:hAnsi="Times New Roman" w:cs="Times New Roman"/>
          <w:sz w:val="24"/>
          <w:szCs w:val="24"/>
        </w:rPr>
        <w:t xml:space="preserve"> to other regions during year </w:t>
      </w:r>
      <w:r w:rsidRPr="006B4F05">
        <w:rPr>
          <w:rFonts w:ascii="Times New Roman" w:hAnsi="Times New Roman" w:cs="Times New Roman"/>
          <w:i/>
          <w:sz w:val="24"/>
          <w:szCs w:val="24"/>
        </w:rPr>
        <w:t>t</w:t>
      </w:r>
    </w:p>
    <w:p w14:paraId="3EB81C25" w14:textId="77777777" w:rsidR="00423E4E" w:rsidRPr="006B4F05" w:rsidRDefault="00423E4E" w:rsidP="00423E4E">
      <w:pPr>
        <w:spacing w:line="360" w:lineRule="auto"/>
        <w:ind w:firstLine="720"/>
        <w:jc w:val="both"/>
        <w:rPr>
          <w:rFonts w:ascii="Times New Roman" w:hAnsi="Times New Roman" w:cs="Times New Roman"/>
          <w:sz w:val="24"/>
          <w:szCs w:val="24"/>
        </w:rPr>
      </w:pPr>
      <w:r w:rsidRPr="006B4F05">
        <w:rPr>
          <w:rFonts w:ascii="Times New Roman" w:hAnsi="Times New Roman" w:cs="Times New Roman"/>
          <w:sz w:val="24"/>
          <w:szCs w:val="24"/>
        </w:rPr>
        <w:t xml:space="preserve">+ inward migration from overseas into region </w:t>
      </w:r>
      <w:proofErr w:type="spellStart"/>
      <w:r w:rsidRPr="006B4F05">
        <w:rPr>
          <w:rFonts w:ascii="Times New Roman" w:hAnsi="Times New Roman" w:cs="Times New Roman"/>
          <w:i/>
          <w:sz w:val="24"/>
          <w:szCs w:val="24"/>
        </w:rPr>
        <w:t>i</w:t>
      </w:r>
      <w:proofErr w:type="spellEnd"/>
      <w:r w:rsidRPr="006B4F05">
        <w:rPr>
          <w:rFonts w:ascii="Times New Roman" w:hAnsi="Times New Roman" w:cs="Times New Roman"/>
          <w:i/>
          <w:sz w:val="24"/>
          <w:szCs w:val="24"/>
        </w:rPr>
        <w:t xml:space="preserve"> </w:t>
      </w:r>
      <w:r w:rsidRPr="006B4F05">
        <w:rPr>
          <w:rFonts w:ascii="Times New Roman" w:hAnsi="Times New Roman" w:cs="Times New Roman"/>
          <w:sz w:val="24"/>
          <w:szCs w:val="24"/>
        </w:rPr>
        <w:t xml:space="preserve">during year </w:t>
      </w:r>
      <w:r w:rsidRPr="006B4F05">
        <w:rPr>
          <w:rFonts w:ascii="Times New Roman" w:hAnsi="Times New Roman" w:cs="Times New Roman"/>
          <w:i/>
          <w:sz w:val="24"/>
          <w:szCs w:val="24"/>
        </w:rPr>
        <w:t>t</w:t>
      </w:r>
      <w:r w:rsidRPr="006B4F05">
        <w:rPr>
          <w:rFonts w:ascii="Times New Roman" w:hAnsi="Times New Roman" w:cs="Times New Roman"/>
          <w:sz w:val="24"/>
          <w:szCs w:val="24"/>
        </w:rPr>
        <w:t xml:space="preserve">  </w:t>
      </w:r>
    </w:p>
    <w:p w14:paraId="381C8F8F" w14:textId="77777777" w:rsidR="00423E4E" w:rsidRPr="006B4F05" w:rsidRDefault="00423E4E" w:rsidP="00423E4E">
      <w:pPr>
        <w:spacing w:line="360" w:lineRule="auto"/>
        <w:ind w:left="720"/>
        <w:jc w:val="both"/>
        <w:rPr>
          <w:rFonts w:ascii="Times New Roman" w:hAnsi="Times New Roman" w:cs="Times New Roman"/>
          <w:sz w:val="24"/>
          <w:szCs w:val="24"/>
        </w:rPr>
      </w:pPr>
      <w:r w:rsidRPr="006B4F05">
        <w:rPr>
          <w:rFonts w:ascii="Times New Roman" w:hAnsi="Times New Roman" w:cs="Times New Roman"/>
          <w:sz w:val="24"/>
          <w:szCs w:val="24"/>
        </w:rPr>
        <w:t xml:space="preserve">– outward migration of residents from area </w:t>
      </w:r>
      <w:proofErr w:type="spellStart"/>
      <w:r w:rsidRPr="006B4F05">
        <w:rPr>
          <w:rFonts w:ascii="Times New Roman" w:hAnsi="Times New Roman" w:cs="Times New Roman"/>
          <w:i/>
          <w:sz w:val="24"/>
          <w:szCs w:val="24"/>
        </w:rPr>
        <w:t>i</w:t>
      </w:r>
      <w:proofErr w:type="spellEnd"/>
      <w:r w:rsidRPr="006B4F05">
        <w:rPr>
          <w:rFonts w:ascii="Times New Roman" w:hAnsi="Times New Roman" w:cs="Times New Roman"/>
          <w:sz w:val="24"/>
          <w:szCs w:val="24"/>
        </w:rPr>
        <w:t xml:space="preserve"> to overseas during year </w:t>
      </w:r>
      <w:r w:rsidRPr="006B4F05">
        <w:rPr>
          <w:rFonts w:ascii="Times New Roman" w:hAnsi="Times New Roman" w:cs="Times New Roman"/>
          <w:i/>
          <w:sz w:val="24"/>
          <w:szCs w:val="24"/>
        </w:rPr>
        <w:t>t</w:t>
      </w:r>
    </w:p>
    <w:p w14:paraId="3ABC2BCE" w14:textId="77777777" w:rsidR="00F91463" w:rsidRDefault="00376FFB" w:rsidP="00F91463">
      <w:pPr>
        <w:spacing w:line="360" w:lineRule="auto"/>
        <w:jc w:val="both"/>
        <w:rPr>
          <w:rFonts w:ascii="Times New Roman" w:hAnsi="Times New Roman" w:cs="Times New Roman"/>
          <w:sz w:val="24"/>
          <w:szCs w:val="24"/>
        </w:rPr>
      </w:pPr>
      <w:r w:rsidRPr="006B4F05">
        <w:rPr>
          <w:rFonts w:ascii="Times New Roman" w:hAnsi="Times New Roman" w:cs="Times New Roman"/>
          <w:sz w:val="24"/>
          <w:szCs w:val="24"/>
        </w:rPr>
        <w:t xml:space="preserve">Starting with a given base year </w:t>
      </w:r>
      <w:r w:rsidR="00F91463">
        <w:rPr>
          <w:rFonts w:ascii="Times New Roman" w:hAnsi="Times New Roman" w:cs="Times New Roman"/>
          <w:sz w:val="24"/>
          <w:szCs w:val="24"/>
        </w:rPr>
        <w:t xml:space="preserve">usually resident </w:t>
      </w:r>
      <w:r w:rsidRPr="006B4F05">
        <w:rPr>
          <w:rFonts w:ascii="Times New Roman" w:hAnsi="Times New Roman" w:cs="Times New Roman"/>
          <w:sz w:val="24"/>
          <w:szCs w:val="24"/>
        </w:rPr>
        <w:t xml:space="preserve">population (see </w:t>
      </w:r>
      <w:r w:rsidR="00F91463">
        <w:rPr>
          <w:rFonts w:ascii="Times New Roman" w:hAnsi="Times New Roman" w:cs="Times New Roman"/>
          <w:sz w:val="24"/>
          <w:szCs w:val="24"/>
        </w:rPr>
        <w:t>Section 2.3</w:t>
      </w:r>
      <w:r w:rsidRPr="006B4F05">
        <w:rPr>
          <w:rFonts w:ascii="Times New Roman" w:hAnsi="Times New Roman" w:cs="Times New Roman"/>
          <w:sz w:val="24"/>
          <w:szCs w:val="24"/>
        </w:rPr>
        <w:t>), the</w:t>
      </w:r>
      <w:r w:rsidR="00F91463">
        <w:rPr>
          <w:rFonts w:ascii="Times New Roman" w:hAnsi="Times New Roman" w:cs="Times New Roman"/>
          <w:sz w:val="24"/>
          <w:szCs w:val="24"/>
        </w:rPr>
        <w:t xml:space="preserve"> usually resident</w:t>
      </w:r>
      <w:r w:rsidRPr="006B4F05">
        <w:rPr>
          <w:rFonts w:ascii="Times New Roman" w:hAnsi="Times New Roman" w:cs="Times New Roman"/>
          <w:sz w:val="24"/>
          <w:szCs w:val="24"/>
        </w:rPr>
        <w:t xml:space="preserve"> population </w:t>
      </w:r>
      <w:r w:rsidR="00F91463">
        <w:rPr>
          <w:rFonts w:ascii="Times New Roman" w:hAnsi="Times New Roman" w:cs="Times New Roman"/>
          <w:sz w:val="24"/>
          <w:szCs w:val="24"/>
        </w:rPr>
        <w:t>one year</w:t>
      </w:r>
      <w:r w:rsidRPr="006B4F05">
        <w:rPr>
          <w:rFonts w:ascii="Times New Roman" w:hAnsi="Times New Roman" w:cs="Times New Roman"/>
          <w:sz w:val="24"/>
          <w:szCs w:val="24"/>
        </w:rPr>
        <w:t xml:space="preserve"> later is calculated using the equation above. This</w:t>
      </w:r>
      <w:r w:rsidR="00F91463">
        <w:rPr>
          <w:rFonts w:ascii="Times New Roman" w:hAnsi="Times New Roman" w:cs="Times New Roman"/>
          <w:sz w:val="24"/>
          <w:szCs w:val="24"/>
        </w:rPr>
        <w:t xml:space="preserve"> end-year usually resident population becomes the start-year usually resident population for the next iteration of the model</w:t>
      </w:r>
      <w:r w:rsidRPr="006B4F05">
        <w:rPr>
          <w:rFonts w:ascii="Times New Roman" w:hAnsi="Times New Roman" w:cs="Times New Roman"/>
          <w:sz w:val="24"/>
          <w:szCs w:val="24"/>
        </w:rPr>
        <w:t xml:space="preserve">. This procedure is repeated for each year through to the end of the projection period (the projection horizon), and separately for each sex. Separate assumptions are used for each of the demographic </w:t>
      </w:r>
      <w:r w:rsidR="00F91463">
        <w:rPr>
          <w:rFonts w:ascii="Times New Roman" w:hAnsi="Times New Roman" w:cs="Times New Roman"/>
          <w:sz w:val="24"/>
          <w:szCs w:val="24"/>
        </w:rPr>
        <w:t>‘</w:t>
      </w:r>
      <w:r w:rsidRPr="006B4F05">
        <w:rPr>
          <w:rFonts w:ascii="Times New Roman" w:hAnsi="Times New Roman" w:cs="Times New Roman"/>
          <w:sz w:val="24"/>
          <w:szCs w:val="24"/>
        </w:rPr>
        <w:t>drivers</w:t>
      </w:r>
      <w:r w:rsidR="00F91463">
        <w:rPr>
          <w:rFonts w:ascii="Times New Roman" w:hAnsi="Times New Roman" w:cs="Times New Roman"/>
          <w:sz w:val="24"/>
          <w:szCs w:val="24"/>
        </w:rPr>
        <w:t>’</w:t>
      </w:r>
      <w:r w:rsidRPr="006B4F05">
        <w:rPr>
          <w:rFonts w:ascii="Times New Roman" w:hAnsi="Times New Roman" w:cs="Times New Roman"/>
          <w:sz w:val="24"/>
          <w:szCs w:val="24"/>
        </w:rPr>
        <w:t>. Births are derived by multiplying age-specific fertility rates by the numbers of women of childbearing age (13-49)</w:t>
      </w:r>
      <w:r w:rsidR="00F91463">
        <w:rPr>
          <w:rFonts w:ascii="Times New Roman" w:hAnsi="Times New Roman" w:cs="Times New Roman"/>
          <w:sz w:val="24"/>
          <w:szCs w:val="24"/>
        </w:rPr>
        <w:t xml:space="preserve"> (see Section 2.4)</w:t>
      </w:r>
      <w:r w:rsidRPr="006B4F05">
        <w:rPr>
          <w:rFonts w:ascii="Times New Roman" w:hAnsi="Times New Roman" w:cs="Times New Roman"/>
          <w:sz w:val="24"/>
          <w:szCs w:val="24"/>
        </w:rPr>
        <w:t>. Deaths are derived by multiplying age- and sex-specific mortality rates by the numbers of people of each age and sex</w:t>
      </w:r>
      <w:r w:rsidR="00F91463">
        <w:rPr>
          <w:rFonts w:ascii="Times New Roman" w:hAnsi="Times New Roman" w:cs="Times New Roman"/>
          <w:sz w:val="24"/>
          <w:szCs w:val="24"/>
        </w:rPr>
        <w:t xml:space="preserve"> (see Section 2.4)</w:t>
      </w:r>
      <w:r w:rsidRPr="006B4F05">
        <w:rPr>
          <w:rFonts w:ascii="Times New Roman" w:hAnsi="Times New Roman" w:cs="Times New Roman"/>
          <w:sz w:val="24"/>
          <w:szCs w:val="24"/>
        </w:rPr>
        <w:t xml:space="preserve">.  Age- and sex-specific </w:t>
      </w:r>
      <w:r w:rsidR="00423E4E">
        <w:rPr>
          <w:rFonts w:ascii="Times New Roman" w:hAnsi="Times New Roman" w:cs="Times New Roman"/>
          <w:sz w:val="24"/>
          <w:szCs w:val="24"/>
        </w:rPr>
        <w:t>internal</w:t>
      </w:r>
      <w:r w:rsidRPr="006B4F05">
        <w:rPr>
          <w:rFonts w:ascii="Times New Roman" w:hAnsi="Times New Roman" w:cs="Times New Roman"/>
          <w:sz w:val="24"/>
          <w:szCs w:val="24"/>
        </w:rPr>
        <w:t xml:space="preserve"> migration</w:t>
      </w:r>
      <w:r w:rsidR="00423E4E">
        <w:rPr>
          <w:rFonts w:ascii="Times New Roman" w:hAnsi="Times New Roman" w:cs="Times New Roman"/>
          <w:sz w:val="24"/>
          <w:szCs w:val="24"/>
        </w:rPr>
        <w:t xml:space="preserve"> flows are derived by applying an age-sex-specific migration profile to total internal migration flows between pairs of TAs </w:t>
      </w:r>
      <w:r w:rsidR="00423E4E" w:rsidRPr="00F91463">
        <w:rPr>
          <w:rFonts w:ascii="Times New Roman" w:hAnsi="Times New Roman" w:cs="Times New Roman"/>
          <w:sz w:val="24"/>
          <w:szCs w:val="24"/>
        </w:rPr>
        <w:t>derived fro</w:t>
      </w:r>
      <w:r w:rsidR="00F91463" w:rsidRPr="00F91463">
        <w:rPr>
          <w:rFonts w:ascii="Times New Roman" w:hAnsi="Times New Roman" w:cs="Times New Roman"/>
          <w:sz w:val="24"/>
          <w:szCs w:val="24"/>
        </w:rPr>
        <w:t xml:space="preserve">m a gravity model (Poot </w:t>
      </w:r>
      <w:r w:rsidR="00F91463" w:rsidRPr="00F91463">
        <w:rPr>
          <w:rFonts w:ascii="Times New Roman" w:hAnsi="Times New Roman" w:cs="Times New Roman"/>
          <w:i/>
          <w:iCs/>
          <w:sz w:val="24"/>
          <w:szCs w:val="24"/>
        </w:rPr>
        <w:t>et al</w:t>
      </w:r>
      <w:r w:rsidR="00F91463" w:rsidRPr="00F91463">
        <w:rPr>
          <w:rFonts w:ascii="Times New Roman" w:hAnsi="Times New Roman" w:cs="Times New Roman"/>
          <w:sz w:val="24"/>
          <w:szCs w:val="24"/>
        </w:rPr>
        <w:t>., 2016).</w:t>
      </w:r>
      <w:r w:rsidRPr="00F91463">
        <w:rPr>
          <w:rFonts w:ascii="Times New Roman" w:hAnsi="Times New Roman" w:cs="Times New Roman"/>
          <w:sz w:val="24"/>
          <w:szCs w:val="24"/>
        </w:rPr>
        <w:t xml:space="preserve"> </w:t>
      </w:r>
      <w:r w:rsidR="00423E4E" w:rsidRPr="00F91463">
        <w:rPr>
          <w:rFonts w:ascii="Times New Roman" w:hAnsi="Times New Roman" w:cs="Times New Roman"/>
          <w:sz w:val="24"/>
          <w:szCs w:val="24"/>
        </w:rPr>
        <w:t>Age- and sex-specific international migration</w:t>
      </w:r>
      <w:r w:rsidR="00423E4E">
        <w:rPr>
          <w:rFonts w:ascii="Times New Roman" w:hAnsi="Times New Roman" w:cs="Times New Roman"/>
          <w:sz w:val="24"/>
          <w:szCs w:val="24"/>
        </w:rPr>
        <w:t xml:space="preserve"> flows are derived by applying an age-sex-specific migration profile to total international migration flows (separately f</w:t>
      </w:r>
      <w:r w:rsidR="00F91463">
        <w:rPr>
          <w:rFonts w:ascii="Times New Roman" w:hAnsi="Times New Roman" w:cs="Times New Roman"/>
          <w:sz w:val="24"/>
          <w:szCs w:val="24"/>
        </w:rPr>
        <w:t>or immigration and emigration).</w:t>
      </w:r>
    </w:p>
    <w:p w14:paraId="5FE942EB" w14:textId="77777777" w:rsidR="00F91463" w:rsidRDefault="00376FFB" w:rsidP="00066040">
      <w:pPr>
        <w:spacing w:line="360" w:lineRule="auto"/>
        <w:jc w:val="both"/>
        <w:rPr>
          <w:rFonts w:ascii="Times New Roman" w:hAnsi="Times New Roman" w:cs="Times New Roman"/>
          <w:sz w:val="24"/>
          <w:szCs w:val="24"/>
        </w:rPr>
      </w:pPr>
      <w:r w:rsidRPr="006B4F05">
        <w:rPr>
          <w:rFonts w:ascii="Times New Roman" w:hAnsi="Times New Roman" w:cs="Times New Roman"/>
          <w:sz w:val="24"/>
          <w:szCs w:val="24"/>
        </w:rPr>
        <w:t>The procedure for deriving estimates of migration</w:t>
      </w:r>
      <w:r w:rsidR="00423E4E">
        <w:rPr>
          <w:rFonts w:ascii="Times New Roman" w:hAnsi="Times New Roman" w:cs="Times New Roman"/>
          <w:sz w:val="24"/>
          <w:szCs w:val="24"/>
        </w:rPr>
        <w:t xml:space="preserve"> flows</w:t>
      </w:r>
      <w:r w:rsidRPr="006B4F05">
        <w:rPr>
          <w:rFonts w:ascii="Times New Roman" w:hAnsi="Times New Roman" w:cs="Times New Roman"/>
          <w:sz w:val="24"/>
          <w:szCs w:val="24"/>
        </w:rPr>
        <w:t xml:space="preserve"> is a key departure from the method employed by SNZ</w:t>
      </w:r>
      <w:r w:rsidR="00423E4E">
        <w:rPr>
          <w:rFonts w:ascii="Times New Roman" w:hAnsi="Times New Roman" w:cs="Times New Roman"/>
          <w:sz w:val="24"/>
          <w:szCs w:val="24"/>
        </w:rPr>
        <w:t xml:space="preserve">, and is </w:t>
      </w:r>
      <w:r w:rsidR="00F91463">
        <w:rPr>
          <w:rFonts w:ascii="Times New Roman" w:hAnsi="Times New Roman" w:cs="Times New Roman"/>
          <w:sz w:val="24"/>
          <w:szCs w:val="24"/>
        </w:rPr>
        <w:t xml:space="preserve">also </w:t>
      </w:r>
      <w:r w:rsidR="00423E4E">
        <w:rPr>
          <w:rFonts w:ascii="Times New Roman" w:hAnsi="Times New Roman" w:cs="Times New Roman"/>
          <w:sz w:val="24"/>
          <w:szCs w:val="24"/>
        </w:rPr>
        <w:t xml:space="preserve">the main improvement on the method previously employed in projections by the University of </w:t>
      </w:r>
      <w:r w:rsidR="00423E4E" w:rsidRPr="00F91463">
        <w:rPr>
          <w:rFonts w:ascii="Times New Roman" w:hAnsi="Times New Roman" w:cs="Times New Roman"/>
          <w:sz w:val="24"/>
          <w:szCs w:val="24"/>
        </w:rPr>
        <w:t>Waikato (</w:t>
      </w:r>
      <w:r w:rsidR="00F91463" w:rsidRPr="00F91463">
        <w:rPr>
          <w:rFonts w:ascii="Times New Roman" w:hAnsi="Times New Roman" w:cs="Times New Roman"/>
          <w:sz w:val="24"/>
          <w:szCs w:val="24"/>
        </w:rPr>
        <w:t>e.g. Cameron and Cochrane, 2016</w:t>
      </w:r>
      <w:r w:rsidR="00423E4E" w:rsidRPr="00F91463">
        <w:rPr>
          <w:rFonts w:ascii="Times New Roman" w:hAnsi="Times New Roman" w:cs="Times New Roman"/>
          <w:sz w:val="24"/>
          <w:szCs w:val="24"/>
        </w:rPr>
        <w:t>)</w:t>
      </w:r>
      <w:r w:rsidRPr="00F91463">
        <w:rPr>
          <w:rFonts w:ascii="Times New Roman" w:hAnsi="Times New Roman" w:cs="Times New Roman"/>
          <w:sz w:val="24"/>
          <w:szCs w:val="24"/>
        </w:rPr>
        <w:t>.</w:t>
      </w:r>
      <w:r w:rsidR="00F91463">
        <w:rPr>
          <w:rFonts w:ascii="Times New Roman" w:hAnsi="Times New Roman" w:cs="Times New Roman"/>
          <w:sz w:val="24"/>
          <w:szCs w:val="24"/>
        </w:rPr>
        <w:t xml:space="preserve"> Another key </w:t>
      </w:r>
      <w:r w:rsidR="00F91463">
        <w:rPr>
          <w:rFonts w:ascii="Times New Roman" w:hAnsi="Times New Roman" w:cs="Times New Roman"/>
          <w:sz w:val="24"/>
          <w:szCs w:val="24"/>
        </w:rPr>
        <w:lastRenderedPageBreak/>
        <w:t>departure from the modelling approach used by SNZ is that our model is bottom-up, rather than top-down</w:t>
      </w:r>
      <w:r w:rsidR="00F91463" w:rsidRPr="00F91463">
        <w:rPr>
          <w:rFonts w:ascii="Times New Roman" w:hAnsi="Times New Roman" w:cs="Times New Roman"/>
          <w:sz w:val="24"/>
          <w:szCs w:val="24"/>
        </w:rPr>
        <w:t xml:space="preserve"> (</w:t>
      </w:r>
      <w:proofErr w:type="spellStart"/>
      <w:r w:rsidR="00F91463" w:rsidRPr="00F91463">
        <w:rPr>
          <w:rFonts w:ascii="Times New Roman" w:hAnsi="Times New Roman" w:cs="Times New Roman"/>
          <w:sz w:val="24"/>
          <w:szCs w:val="24"/>
        </w:rPr>
        <w:t>Willekens</w:t>
      </w:r>
      <w:proofErr w:type="spellEnd"/>
      <w:r w:rsidR="00F91463" w:rsidRPr="00F91463">
        <w:rPr>
          <w:rFonts w:ascii="Times New Roman" w:hAnsi="Times New Roman" w:cs="Times New Roman"/>
          <w:sz w:val="24"/>
          <w:szCs w:val="24"/>
        </w:rPr>
        <w:t>, 1983). A top-down approach projects the population at the national level first, using a national-level model, then projects each sub-national area either separately or as part of a multi-regional model. The sub-national projections</w:t>
      </w:r>
      <w:r w:rsidR="00F91463">
        <w:rPr>
          <w:rFonts w:ascii="Times New Roman" w:hAnsi="Times New Roman" w:cs="Times New Roman"/>
          <w:sz w:val="24"/>
          <w:szCs w:val="24"/>
        </w:rPr>
        <w:t xml:space="preserve"> in a top-down approach</w:t>
      </w:r>
      <w:r w:rsidR="00F91463" w:rsidRPr="00F91463">
        <w:rPr>
          <w:rFonts w:ascii="Times New Roman" w:hAnsi="Times New Roman" w:cs="Times New Roman"/>
          <w:sz w:val="24"/>
          <w:szCs w:val="24"/>
        </w:rPr>
        <w:t xml:space="preserve"> are constrained to sum to the previously </w:t>
      </w:r>
      <w:r w:rsidR="00F91463">
        <w:rPr>
          <w:rFonts w:ascii="Times New Roman" w:hAnsi="Times New Roman" w:cs="Times New Roman"/>
          <w:sz w:val="24"/>
          <w:szCs w:val="24"/>
        </w:rPr>
        <w:t xml:space="preserve">determined national projection. A bottom-up approach instead projects each subnational area separately first, and derives a national projection as a sum of the subnational projections. The bottom-up approach has the advantage of more accurately reflecting differences in </w:t>
      </w:r>
      <w:r w:rsidR="00F91463" w:rsidRPr="00F91463">
        <w:rPr>
          <w:rFonts w:ascii="Times New Roman" w:hAnsi="Times New Roman" w:cs="Times New Roman"/>
          <w:sz w:val="24"/>
          <w:szCs w:val="24"/>
        </w:rPr>
        <w:t>sub-nationa</w:t>
      </w:r>
      <w:r w:rsidR="00F91463">
        <w:rPr>
          <w:rFonts w:ascii="Times New Roman" w:hAnsi="Times New Roman" w:cs="Times New Roman"/>
          <w:sz w:val="24"/>
          <w:szCs w:val="24"/>
        </w:rPr>
        <w:t xml:space="preserve">l drivers of population change; however, </w:t>
      </w:r>
      <w:r w:rsidR="00066040">
        <w:rPr>
          <w:rFonts w:ascii="Times New Roman" w:hAnsi="Times New Roman" w:cs="Times New Roman"/>
          <w:sz w:val="24"/>
          <w:szCs w:val="24"/>
        </w:rPr>
        <w:t>the lack of an ‘adding-up’ constraint could lead to unrealistic</w:t>
      </w:r>
      <w:r w:rsidR="00F91463">
        <w:rPr>
          <w:rFonts w:ascii="Times New Roman" w:hAnsi="Times New Roman" w:cs="Times New Roman"/>
          <w:sz w:val="24"/>
          <w:szCs w:val="24"/>
        </w:rPr>
        <w:t xml:space="preserve"> national-level projections</w:t>
      </w:r>
      <w:r w:rsidR="00066040">
        <w:rPr>
          <w:rFonts w:ascii="Times New Roman" w:hAnsi="Times New Roman" w:cs="Times New Roman"/>
          <w:sz w:val="24"/>
          <w:szCs w:val="24"/>
        </w:rPr>
        <w:t xml:space="preserve"> (which can be addressed through appropriate calibration of the model, as described in Section 2.8)</w:t>
      </w:r>
      <w:r w:rsidR="00F91463">
        <w:rPr>
          <w:rFonts w:ascii="Times New Roman" w:hAnsi="Times New Roman" w:cs="Times New Roman"/>
          <w:sz w:val="24"/>
          <w:szCs w:val="24"/>
        </w:rPr>
        <w:t xml:space="preserve">. </w:t>
      </w:r>
      <w:r w:rsidR="00066040">
        <w:rPr>
          <w:rFonts w:ascii="Times New Roman" w:hAnsi="Times New Roman" w:cs="Times New Roman"/>
          <w:sz w:val="24"/>
          <w:szCs w:val="24"/>
        </w:rPr>
        <w:t>For more on the advantages and disadvantages of top-down versus bottom-up approaches to population projections, see Cameron et al. (2021).</w:t>
      </w:r>
    </w:p>
    <w:p w14:paraId="12B91D59" w14:textId="77777777" w:rsidR="00376FFB" w:rsidRPr="006B4F05" w:rsidRDefault="00376FFB" w:rsidP="00066040">
      <w:pPr>
        <w:spacing w:line="360" w:lineRule="auto"/>
        <w:jc w:val="both"/>
        <w:rPr>
          <w:rFonts w:ascii="Times New Roman" w:hAnsi="Times New Roman" w:cs="Times New Roman"/>
          <w:sz w:val="24"/>
          <w:szCs w:val="24"/>
        </w:rPr>
      </w:pPr>
      <w:r w:rsidRPr="00F91463">
        <w:rPr>
          <w:rFonts w:ascii="Times New Roman" w:hAnsi="Times New Roman" w:cs="Times New Roman"/>
          <w:sz w:val="24"/>
          <w:szCs w:val="24"/>
        </w:rPr>
        <w:t>The</w:t>
      </w:r>
      <w:r w:rsidR="00066040">
        <w:rPr>
          <w:rFonts w:ascii="Times New Roman" w:hAnsi="Times New Roman" w:cs="Times New Roman"/>
          <w:sz w:val="24"/>
          <w:szCs w:val="24"/>
        </w:rPr>
        <w:t xml:space="preserve"> remainder of this section describes the methods used for deriving each of the components used in the cohort component model, as well as the methods used to validate and calibrate the model. Finally, the methods employed in the family and household projections and labour force projections are described.</w:t>
      </w:r>
      <w:r w:rsidRPr="00F91463">
        <w:rPr>
          <w:rFonts w:ascii="Times New Roman" w:hAnsi="Times New Roman" w:cs="Times New Roman"/>
          <w:sz w:val="24"/>
          <w:szCs w:val="24"/>
        </w:rPr>
        <w:t xml:space="preserve"> </w:t>
      </w:r>
    </w:p>
    <w:p w14:paraId="62A788FE" w14:textId="77777777" w:rsidR="00376FFB" w:rsidRPr="006B4F05" w:rsidRDefault="00376FFB" w:rsidP="00376FFB">
      <w:pPr>
        <w:spacing w:line="360" w:lineRule="auto"/>
        <w:jc w:val="both"/>
        <w:rPr>
          <w:rFonts w:ascii="Times New Roman" w:hAnsi="Times New Roman" w:cs="Times New Roman"/>
          <w:sz w:val="24"/>
          <w:szCs w:val="24"/>
        </w:rPr>
      </w:pPr>
    </w:p>
    <w:p w14:paraId="503F51D0" w14:textId="77777777" w:rsidR="00376FFB" w:rsidRPr="006B4F05" w:rsidRDefault="00376FFB" w:rsidP="00376FFB">
      <w:pPr>
        <w:spacing w:line="360" w:lineRule="auto"/>
        <w:jc w:val="both"/>
        <w:rPr>
          <w:rFonts w:ascii="Times New Roman" w:hAnsi="Times New Roman" w:cs="Times New Roman"/>
          <w:i/>
          <w:sz w:val="24"/>
          <w:szCs w:val="24"/>
        </w:rPr>
      </w:pPr>
      <w:r w:rsidRPr="00756EB5">
        <w:rPr>
          <w:rFonts w:ascii="Times New Roman" w:hAnsi="Times New Roman" w:cs="Times New Roman"/>
          <w:i/>
          <w:sz w:val="24"/>
          <w:szCs w:val="24"/>
        </w:rPr>
        <w:t>2.3 Base Populations</w:t>
      </w:r>
    </w:p>
    <w:p w14:paraId="283274BA" w14:textId="77777777" w:rsidR="00514F27" w:rsidRPr="006B4F05" w:rsidRDefault="00514F27" w:rsidP="00756EB5">
      <w:pPr>
        <w:spacing w:line="360" w:lineRule="auto"/>
        <w:jc w:val="both"/>
        <w:rPr>
          <w:rFonts w:ascii="Times New Roman" w:hAnsi="Times New Roman" w:cs="Times New Roman"/>
          <w:sz w:val="24"/>
          <w:szCs w:val="24"/>
        </w:rPr>
      </w:pPr>
      <w:r w:rsidRPr="006B4F05">
        <w:rPr>
          <w:rFonts w:ascii="Times New Roman" w:hAnsi="Times New Roman" w:cs="Times New Roman"/>
          <w:sz w:val="24"/>
          <w:szCs w:val="24"/>
        </w:rPr>
        <w:t>The base population</w:t>
      </w:r>
      <w:r w:rsidR="00756EB5">
        <w:rPr>
          <w:rFonts w:ascii="Times New Roman" w:hAnsi="Times New Roman" w:cs="Times New Roman"/>
          <w:sz w:val="24"/>
          <w:szCs w:val="24"/>
        </w:rPr>
        <w:t>s</w:t>
      </w:r>
      <w:r w:rsidRPr="006B4F05">
        <w:rPr>
          <w:rFonts w:ascii="Times New Roman" w:hAnsi="Times New Roman" w:cs="Times New Roman"/>
          <w:sz w:val="24"/>
          <w:szCs w:val="24"/>
        </w:rPr>
        <w:t xml:space="preserve"> used for the projections </w:t>
      </w:r>
      <w:r w:rsidR="00756EB5">
        <w:rPr>
          <w:rFonts w:ascii="Times New Roman" w:hAnsi="Times New Roman" w:cs="Times New Roman"/>
          <w:sz w:val="24"/>
          <w:szCs w:val="24"/>
        </w:rPr>
        <w:t>were</w:t>
      </w:r>
      <w:r w:rsidRPr="006B4F05">
        <w:rPr>
          <w:rFonts w:ascii="Times New Roman" w:hAnsi="Times New Roman" w:cs="Times New Roman"/>
          <w:sz w:val="24"/>
          <w:szCs w:val="24"/>
        </w:rPr>
        <w:t xml:space="preserve"> the Estimated Resident Population</w:t>
      </w:r>
      <w:r w:rsidR="00756EB5">
        <w:rPr>
          <w:rFonts w:ascii="Times New Roman" w:hAnsi="Times New Roman" w:cs="Times New Roman"/>
          <w:sz w:val="24"/>
          <w:szCs w:val="24"/>
        </w:rPr>
        <w:t>s</w:t>
      </w:r>
      <w:r w:rsidRPr="006B4F05">
        <w:rPr>
          <w:rFonts w:ascii="Times New Roman" w:hAnsi="Times New Roman" w:cs="Times New Roman"/>
          <w:sz w:val="24"/>
          <w:szCs w:val="24"/>
        </w:rPr>
        <w:t xml:space="preserve"> (ERP) at 30 June 201</w:t>
      </w:r>
      <w:r w:rsidR="002903F3">
        <w:rPr>
          <w:rFonts w:ascii="Times New Roman" w:hAnsi="Times New Roman" w:cs="Times New Roman"/>
          <w:sz w:val="24"/>
          <w:szCs w:val="24"/>
        </w:rPr>
        <w:t>8</w:t>
      </w:r>
      <w:r w:rsidRPr="006B4F05">
        <w:rPr>
          <w:rFonts w:ascii="Times New Roman" w:hAnsi="Times New Roman" w:cs="Times New Roman"/>
          <w:sz w:val="24"/>
          <w:szCs w:val="24"/>
        </w:rPr>
        <w:t xml:space="preserve">, </w:t>
      </w:r>
      <w:r w:rsidR="002903F3">
        <w:rPr>
          <w:rFonts w:ascii="Times New Roman" w:hAnsi="Times New Roman" w:cs="Times New Roman"/>
          <w:sz w:val="24"/>
          <w:szCs w:val="24"/>
        </w:rPr>
        <w:t>revised</w:t>
      </w:r>
      <w:r w:rsidR="00942A01">
        <w:rPr>
          <w:rFonts w:ascii="Times New Roman" w:hAnsi="Times New Roman" w:cs="Times New Roman"/>
          <w:sz w:val="24"/>
          <w:szCs w:val="24"/>
        </w:rPr>
        <w:t xml:space="preserve"> by </w:t>
      </w:r>
      <w:r w:rsidRPr="006B4F05">
        <w:rPr>
          <w:rFonts w:ascii="Times New Roman" w:hAnsi="Times New Roman" w:cs="Times New Roman"/>
          <w:sz w:val="24"/>
          <w:szCs w:val="24"/>
        </w:rPr>
        <w:t>SNZ</w:t>
      </w:r>
      <w:r w:rsidR="002903F3">
        <w:rPr>
          <w:rFonts w:ascii="Times New Roman" w:hAnsi="Times New Roman" w:cs="Times New Roman"/>
          <w:sz w:val="24"/>
          <w:szCs w:val="24"/>
        </w:rPr>
        <w:t xml:space="preserve"> in 2020</w:t>
      </w:r>
      <w:r w:rsidRPr="006B4F05">
        <w:rPr>
          <w:rFonts w:ascii="Times New Roman" w:hAnsi="Times New Roman" w:cs="Times New Roman"/>
          <w:sz w:val="24"/>
          <w:szCs w:val="24"/>
        </w:rPr>
        <w:t>.</w:t>
      </w:r>
      <w:r w:rsidR="00942A01">
        <w:rPr>
          <w:rFonts w:ascii="Times New Roman" w:hAnsi="Times New Roman" w:cs="Times New Roman"/>
          <w:sz w:val="24"/>
          <w:szCs w:val="24"/>
        </w:rPr>
        <w:t xml:space="preserve"> </w:t>
      </w:r>
      <w:r w:rsidR="00CA5E3A">
        <w:rPr>
          <w:rFonts w:ascii="Times New Roman" w:hAnsi="Times New Roman" w:cs="Times New Roman"/>
          <w:sz w:val="24"/>
          <w:szCs w:val="24"/>
        </w:rPr>
        <w:t>As t</w:t>
      </w:r>
      <w:r w:rsidRPr="006B4F05">
        <w:rPr>
          <w:rFonts w:ascii="Times New Roman" w:hAnsi="Times New Roman" w:cs="Times New Roman"/>
          <w:sz w:val="24"/>
          <w:szCs w:val="24"/>
        </w:rPr>
        <w:t xml:space="preserve">his ERP is only reported by SNZ in 5-year age groups, the single-year age groups necessary for the population projection model were derived by interpolating the ERP for each territorial authority using the </w:t>
      </w:r>
      <w:r w:rsidR="00756EB5">
        <w:rPr>
          <w:rFonts w:ascii="Times New Roman" w:hAnsi="Times New Roman" w:cs="Times New Roman"/>
          <w:sz w:val="24"/>
          <w:szCs w:val="24"/>
        </w:rPr>
        <w:t xml:space="preserve">TA-level </w:t>
      </w:r>
      <w:r w:rsidRPr="006B4F05">
        <w:rPr>
          <w:rFonts w:ascii="Times New Roman" w:hAnsi="Times New Roman" w:cs="Times New Roman"/>
          <w:sz w:val="24"/>
          <w:szCs w:val="24"/>
        </w:rPr>
        <w:t>Census Usually Resident Population (CURP) counts by single-year-of-age from the 201</w:t>
      </w:r>
      <w:r w:rsidR="002903F3">
        <w:rPr>
          <w:rFonts w:ascii="Times New Roman" w:hAnsi="Times New Roman" w:cs="Times New Roman"/>
          <w:sz w:val="24"/>
          <w:szCs w:val="24"/>
        </w:rPr>
        <w:t>8</w:t>
      </w:r>
      <w:r w:rsidRPr="006B4F05">
        <w:rPr>
          <w:rFonts w:ascii="Times New Roman" w:hAnsi="Times New Roman" w:cs="Times New Roman"/>
          <w:sz w:val="24"/>
          <w:szCs w:val="24"/>
        </w:rPr>
        <w:t xml:space="preserve"> Census of Population and Dwellings. Separate interpolations were undertaken for each sex.</w:t>
      </w:r>
    </w:p>
    <w:p w14:paraId="32B4C715" w14:textId="77777777" w:rsidR="00003007" w:rsidRPr="006B4F05" w:rsidRDefault="00003007">
      <w:pPr>
        <w:rPr>
          <w:rFonts w:ascii="Times New Roman" w:hAnsi="Times New Roman" w:cs="Times New Roman"/>
          <w:i/>
          <w:sz w:val="24"/>
          <w:szCs w:val="24"/>
        </w:rPr>
      </w:pPr>
    </w:p>
    <w:p w14:paraId="5C463D5B" w14:textId="77777777" w:rsidR="00514F27" w:rsidRPr="00207662" w:rsidRDefault="00514F27" w:rsidP="00514F27">
      <w:pPr>
        <w:spacing w:line="360" w:lineRule="auto"/>
        <w:jc w:val="both"/>
        <w:rPr>
          <w:rFonts w:ascii="Times New Roman" w:hAnsi="Times New Roman" w:cs="Times New Roman"/>
          <w:i/>
          <w:sz w:val="24"/>
          <w:szCs w:val="24"/>
        </w:rPr>
      </w:pPr>
      <w:r w:rsidRPr="00207662">
        <w:rPr>
          <w:rFonts w:ascii="Times New Roman" w:hAnsi="Times New Roman" w:cs="Times New Roman"/>
          <w:i/>
          <w:sz w:val="24"/>
          <w:szCs w:val="24"/>
        </w:rPr>
        <w:t>2.4 Fertility and Mortality Assumptions</w:t>
      </w:r>
    </w:p>
    <w:p w14:paraId="0DACA5E7" w14:textId="77777777" w:rsidR="00514F27" w:rsidRDefault="00514F27" w:rsidP="00207662">
      <w:pPr>
        <w:spacing w:line="360" w:lineRule="auto"/>
        <w:jc w:val="both"/>
        <w:rPr>
          <w:rFonts w:ascii="Times New Roman" w:hAnsi="Times New Roman" w:cs="Times New Roman"/>
          <w:sz w:val="24"/>
          <w:szCs w:val="24"/>
        </w:rPr>
      </w:pPr>
      <w:r w:rsidRPr="00207662">
        <w:rPr>
          <w:rFonts w:ascii="Times New Roman" w:hAnsi="Times New Roman" w:cs="Times New Roman"/>
          <w:sz w:val="24"/>
          <w:szCs w:val="24"/>
        </w:rPr>
        <w:t xml:space="preserve">The fertility and mortality assumptions used in the projections were </w:t>
      </w:r>
      <w:r w:rsidR="00C66382" w:rsidRPr="00207662">
        <w:rPr>
          <w:rFonts w:ascii="Times New Roman" w:hAnsi="Times New Roman" w:cs="Times New Roman"/>
          <w:sz w:val="24"/>
          <w:szCs w:val="24"/>
        </w:rPr>
        <w:t xml:space="preserve">initially </w:t>
      </w:r>
      <w:r w:rsidRPr="00207662">
        <w:rPr>
          <w:rFonts w:ascii="Times New Roman" w:hAnsi="Times New Roman" w:cs="Times New Roman"/>
          <w:sz w:val="24"/>
          <w:szCs w:val="24"/>
        </w:rPr>
        <w:t>based on the subnational ‘medium’ fertility and mortality assumptions used by SNZ in their 20</w:t>
      </w:r>
      <w:r w:rsidR="001C4663" w:rsidRPr="00207662">
        <w:rPr>
          <w:rFonts w:ascii="Times New Roman" w:hAnsi="Times New Roman" w:cs="Times New Roman"/>
          <w:sz w:val="24"/>
          <w:szCs w:val="24"/>
        </w:rPr>
        <w:t>13</w:t>
      </w:r>
      <w:r w:rsidRPr="00207662">
        <w:rPr>
          <w:rFonts w:ascii="Times New Roman" w:hAnsi="Times New Roman" w:cs="Times New Roman"/>
          <w:sz w:val="24"/>
          <w:szCs w:val="24"/>
        </w:rPr>
        <w:t xml:space="preserve">-base subnational population projections. </w:t>
      </w:r>
      <w:r w:rsidR="001C4663" w:rsidRPr="00207662">
        <w:rPr>
          <w:rFonts w:ascii="Times New Roman" w:hAnsi="Times New Roman" w:cs="Times New Roman"/>
          <w:sz w:val="24"/>
          <w:szCs w:val="24"/>
        </w:rPr>
        <w:t>These are the same fertility and mortality assumptions as used in the Waikato 201</w:t>
      </w:r>
      <w:r w:rsidR="00BE28F6" w:rsidRPr="00207662">
        <w:rPr>
          <w:rFonts w:ascii="Times New Roman" w:hAnsi="Times New Roman" w:cs="Times New Roman"/>
          <w:sz w:val="24"/>
          <w:szCs w:val="24"/>
        </w:rPr>
        <w:t>6</w:t>
      </w:r>
      <w:r w:rsidR="001C4663" w:rsidRPr="00207662">
        <w:rPr>
          <w:rFonts w:ascii="Times New Roman" w:hAnsi="Times New Roman" w:cs="Times New Roman"/>
          <w:sz w:val="24"/>
          <w:szCs w:val="24"/>
        </w:rPr>
        <w:t>-update demographic projections (Cameron and Cochrane, 201</w:t>
      </w:r>
      <w:r w:rsidR="00BE28F6" w:rsidRPr="00207662">
        <w:rPr>
          <w:rFonts w:ascii="Times New Roman" w:hAnsi="Times New Roman" w:cs="Times New Roman"/>
          <w:sz w:val="24"/>
          <w:szCs w:val="24"/>
        </w:rPr>
        <w:t>6</w:t>
      </w:r>
      <w:r w:rsidR="001C4663" w:rsidRPr="00207662">
        <w:rPr>
          <w:rFonts w:ascii="Times New Roman" w:hAnsi="Times New Roman" w:cs="Times New Roman"/>
          <w:sz w:val="24"/>
          <w:szCs w:val="24"/>
        </w:rPr>
        <w:t>).</w:t>
      </w:r>
      <w:r w:rsidR="001C4663" w:rsidRPr="006B4F05">
        <w:rPr>
          <w:rFonts w:ascii="Times New Roman" w:hAnsi="Times New Roman" w:cs="Times New Roman"/>
          <w:sz w:val="24"/>
          <w:szCs w:val="24"/>
        </w:rPr>
        <w:t xml:space="preserve"> </w:t>
      </w:r>
      <w:r w:rsidR="00BE28F6">
        <w:rPr>
          <w:rFonts w:ascii="Times New Roman" w:hAnsi="Times New Roman" w:cs="Times New Roman"/>
          <w:sz w:val="24"/>
          <w:szCs w:val="24"/>
        </w:rPr>
        <w:lastRenderedPageBreak/>
        <w:t xml:space="preserve">More recent SNZ assumptions (i.e. those used in their 2018-base subnational population projections) were not available at the time </w:t>
      </w:r>
      <w:r w:rsidR="00207662">
        <w:rPr>
          <w:rFonts w:ascii="Times New Roman" w:hAnsi="Times New Roman" w:cs="Times New Roman"/>
          <w:sz w:val="24"/>
          <w:szCs w:val="24"/>
        </w:rPr>
        <w:t>that these projections were developed</w:t>
      </w:r>
      <w:r w:rsidR="00BE28F6">
        <w:rPr>
          <w:rFonts w:ascii="Times New Roman" w:hAnsi="Times New Roman" w:cs="Times New Roman"/>
          <w:sz w:val="24"/>
          <w:szCs w:val="24"/>
        </w:rPr>
        <w:t>. Moreover, h</w:t>
      </w:r>
      <w:r w:rsidRPr="006B4F05">
        <w:rPr>
          <w:rFonts w:ascii="Times New Roman" w:hAnsi="Times New Roman" w:cs="Times New Roman"/>
          <w:sz w:val="24"/>
          <w:szCs w:val="24"/>
        </w:rPr>
        <w:t xml:space="preserve">aving considered alternative time series for fertility and mortality, </w:t>
      </w:r>
      <w:r w:rsidR="00207662">
        <w:rPr>
          <w:rFonts w:ascii="Times New Roman" w:hAnsi="Times New Roman" w:cs="Times New Roman"/>
          <w:sz w:val="24"/>
          <w:szCs w:val="24"/>
        </w:rPr>
        <w:t>in the past</w:t>
      </w:r>
      <w:r w:rsidRPr="006B4F05">
        <w:rPr>
          <w:rFonts w:ascii="Times New Roman" w:hAnsi="Times New Roman" w:cs="Times New Roman"/>
          <w:sz w:val="24"/>
          <w:szCs w:val="24"/>
        </w:rPr>
        <w:t xml:space="preserve"> the assumptions used by SNZ with respect to fertility and mortality in their subnational population projections </w:t>
      </w:r>
      <w:r w:rsidR="00207662">
        <w:rPr>
          <w:rFonts w:ascii="Times New Roman" w:hAnsi="Times New Roman" w:cs="Times New Roman"/>
          <w:sz w:val="24"/>
          <w:szCs w:val="24"/>
        </w:rPr>
        <w:t>have proven to be</w:t>
      </w:r>
      <w:r w:rsidRPr="006B4F05">
        <w:rPr>
          <w:rFonts w:ascii="Times New Roman" w:hAnsi="Times New Roman" w:cs="Times New Roman"/>
          <w:sz w:val="24"/>
          <w:szCs w:val="24"/>
        </w:rPr>
        <w:t xml:space="preserve"> adequate for our purposes (see Cameron </w:t>
      </w:r>
      <w:r w:rsidRPr="006B4F05">
        <w:rPr>
          <w:rFonts w:ascii="Times New Roman" w:hAnsi="Times New Roman" w:cs="Times New Roman"/>
          <w:i/>
          <w:sz w:val="24"/>
          <w:szCs w:val="24"/>
        </w:rPr>
        <w:t>et al</w:t>
      </w:r>
      <w:r w:rsidR="00CA5E3A">
        <w:rPr>
          <w:rFonts w:ascii="Times New Roman" w:hAnsi="Times New Roman" w:cs="Times New Roman"/>
          <w:sz w:val="24"/>
          <w:szCs w:val="24"/>
        </w:rPr>
        <w:t>., 200</w:t>
      </w:r>
      <w:r w:rsidR="00207662">
        <w:rPr>
          <w:rFonts w:ascii="Times New Roman" w:hAnsi="Times New Roman" w:cs="Times New Roman"/>
          <w:sz w:val="24"/>
          <w:szCs w:val="24"/>
        </w:rPr>
        <w:t>7; 200</w:t>
      </w:r>
      <w:r w:rsidR="00CA5E3A">
        <w:rPr>
          <w:rFonts w:ascii="Times New Roman" w:hAnsi="Times New Roman" w:cs="Times New Roman"/>
          <w:sz w:val="24"/>
          <w:szCs w:val="24"/>
        </w:rPr>
        <w:t>8)</w:t>
      </w:r>
      <w:r w:rsidR="00BE28F6">
        <w:rPr>
          <w:rFonts w:ascii="Times New Roman" w:hAnsi="Times New Roman" w:cs="Times New Roman"/>
          <w:sz w:val="24"/>
          <w:szCs w:val="24"/>
        </w:rPr>
        <w:t xml:space="preserve">, and </w:t>
      </w:r>
      <w:r w:rsidR="00207662">
        <w:rPr>
          <w:rFonts w:ascii="Times New Roman" w:hAnsi="Times New Roman" w:cs="Times New Roman"/>
          <w:sz w:val="24"/>
          <w:szCs w:val="24"/>
        </w:rPr>
        <w:t xml:space="preserve">they </w:t>
      </w:r>
      <w:r w:rsidR="00BE28F6">
        <w:rPr>
          <w:rFonts w:ascii="Times New Roman" w:hAnsi="Times New Roman" w:cs="Times New Roman"/>
          <w:sz w:val="24"/>
          <w:szCs w:val="24"/>
        </w:rPr>
        <w:t xml:space="preserve">remain relevant </w:t>
      </w:r>
      <w:r w:rsidR="00207662">
        <w:rPr>
          <w:rFonts w:ascii="Times New Roman" w:hAnsi="Times New Roman" w:cs="Times New Roman"/>
          <w:sz w:val="24"/>
          <w:szCs w:val="24"/>
        </w:rPr>
        <w:t xml:space="preserve">and generally unbiased </w:t>
      </w:r>
      <w:r w:rsidR="00BE28F6">
        <w:rPr>
          <w:rFonts w:ascii="Times New Roman" w:hAnsi="Times New Roman" w:cs="Times New Roman"/>
          <w:sz w:val="24"/>
          <w:szCs w:val="24"/>
        </w:rPr>
        <w:t>even five years later</w:t>
      </w:r>
      <w:r w:rsidR="00CA5E3A">
        <w:rPr>
          <w:rFonts w:ascii="Times New Roman" w:hAnsi="Times New Roman" w:cs="Times New Roman"/>
          <w:sz w:val="24"/>
          <w:szCs w:val="24"/>
        </w:rPr>
        <w:t>. As SNZ use</w:t>
      </w:r>
      <w:r w:rsidRPr="006B4F05">
        <w:rPr>
          <w:rFonts w:ascii="Times New Roman" w:hAnsi="Times New Roman" w:cs="Times New Roman"/>
          <w:sz w:val="24"/>
          <w:szCs w:val="24"/>
        </w:rPr>
        <w:t xml:space="preserve"> past fertility and mortality (survivorship) rates based on the official deaths and births statistics to develop their projections, the SNZ assumptions</w:t>
      </w:r>
      <w:r w:rsidR="00207662">
        <w:rPr>
          <w:rFonts w:ascii="Times New Roman" w:hAnsi="Times New Roman" w:cs="Times New Roman"/>
          <w:sz w:val="24"/>
          <w:szCs w:val="24"/>
        </w:rPr>
        <w:t xml:space="preserve"> therefore</w:t>
      </w:r>
      <w:r w:rsidRPr="006B4F05">
        <w:rPr>
          <w:rFonts w:ascii="Times New Roman" w:hAnsi="Times New Roman" w:cs="Times New Roman"/>
          <w:sz w:val="24"/>
          <w:szCs w:val="24"/>
        </w:rPr>
        <w:t xml:space="preserve"> represent an appropriate starting point.</w:t>
      </w:r>
    </w:p>
    <w:p w14:paraId="33653A3A" w14:textId="77777777" w:rsidR="00514F27" w:rsidRPr="006B4F05" w:rsidRDefault="00514F27" w:rsidP="00514F27">
      <w:pPr>
        <w:spacing w:line="360" w:lineRule="auto"/>
        <w:jc w:val="both"/>
        <w:rPr>
          <w:rFonts w:ascii="Times New Roman" w:hAnsi="Times New Roman" w:cs="Times New Roman"/>
          <w:sz w:val="24"/>
          <w:szCs w:val="24"/>
        </w:rPr>
      </w:pPr>
      <w:r w:rsidRPr="006B4F05">
        <w:rPr>
          <w:rFonts w:ascii="Times New Roman" w:hAnsi="Times New Roman" w:cs="Times New Roman"/>
          <w:sz w:val="24"/>
          <w:szCs w:val="24"/>
        </w:rPr>
        <w:t xml:space="preserve">Age-specific fertility rates by single-year-of-age (of the mother) were derived by first interpolating the five-year subnational age-specific fertility rate using the national-level age-specific fertility rate profile by single-year-of-age. The resulting profiles were then scaled to </w:t>
      </w:r>
      <w:r w:rsidRPr="001C4663">
        <w:rPr>
          <w:rFonts w:ascii="Times New Roman" w:hAnsi="Times New Roman" w:cs="Times New Roman"/>
          <w:sz w:val="24"/>
          <w:szCs w:val="24"/>
        </w:rPr>
        <w:t xml:space="preserve">match the projected total fertility rate </w:t>
      </w:r>
      <w:r w:rsidR="00207662">
        <w:rPr>
          <w:rFonts w:ascii="Times New Roman" w:hAnsi="Times New Roman" w:cs="Times New Roman"/>
          <w:sz w:val="24"/>
          <w:szCs w:val="24"/>
        </w:rPr>
        <w:t xml:space="preserve">(from SNZ) </w:t>
      </w:r>
      <w:r w:rsidRPr="001C4663">
        <w:rPr>
          <w:rFonts w:ascii="Times New Roman" w:hAnsi="Times New Roman" w:cs="Times New Roman"/>
          <w:sz w:val="24"/>
          <w:szCs w:val="24"/>
        </w:rPr>
        <w:t>for each territorial authority. The total fertility rate for each territorial authority was assumed to follow the SNZ projections to 20</w:t>
      </w:r>
      <w:r w:rsidR="001C4663" w:rsidRPr="001C4663">
        <w:rPr>
          <w:rFonts w:ascii="Times New Roman" w:hAnsi="Times New Roman" w:cs="Times New Roman"/>
          <w:sz w:val="24"/>
          <w:szCs w:val="24"/>
        </w:rPr>
        <w:t>43</w:t>
      </w:r>
      <w:r w:rsidRPr="001C4663">
        <w:rPr>
          <w:rFonts w:ascii="Times New Roman" w:hAnsi="Times New Roman" w:cs="Times New Roman"/>
          <w:sz w:val="24"/>
          <w:szCs w:val="24"/>
        </w:rPr>
        <w:t xml:space="preserve"> then remain invariant after 20</w:t>
      </w:r>
      <w:r w:rsidR="001C4663" w:rsidRPr="001C4663">
        <w:rPr>
          <w:rFonts w:ascii="Times New Roman" w:hAnsi="Times New Roman" w:cs="Times New Roman"/>
          <w:sz w:val="24"/>
          <w:szCs w:val="24"/>
        </w:rPr>
        <w:t>43</w:t>
      </w:r>
      <w:r w:rsidRPr="001C4663">
        <w:rPr>
          <w:rFonts w:ascii="Times New Roman" w:hAnsi="Times New Roman" w:cs="Times New Roman"/>
          <w:sz w:val="24"/>
          <w:szCs w:val="24"/>
        </w:rPr>
        <w:t>. Sex at birth was assumed to follow a constant pattern similar to past trends,</w:t>
      </w:r>
      <w:r w:rsidRPr="006B4F05">
        <w:rPr>
          <w:rFonts w:ascii="Times New Roman" w:hAnsi="Times New Roman" w:cs="Times New Roman"/>
          <w:sz w:val="24"/>
          <w:szCs w:val="24"/>
        </w:rPr>
        <w:t xml:space="preserve"> with 105.5 males for every 100 females at birth.</w:t>
      </w:r>
    </w:p>
    <w:p w14:paraId="4D779C76" w14:textId="77777777" w:rsidR="00BE28F6" w:rsidRPr="006B4F05" w:rsidRDefault="00BE28F6" w:rsidP="00207662">
      <w:pPr>
        <w:spacing w:line="360" w:lineRule="auto"/>
        <w:jc w:val="both"/>
        <w:rPr>
          <w:rFonts w:ascii="Times New Roman" w:hAnsi="Times New Roman" w:cs="Times New Roman"/>
          <w:sz w:val="24"/>
          <w:szCs w:val="24"/>
        </w:rPr>
      </w:pPr>
      <w:r w:rsidRPr="00207662">
        <w:rPr>
          <w:rFonts w:ascii="Times New Roman" w:hAnsi="Times New Roman" w:cs="Times New Roman"/>
          <w:sz w:val="24"/>
          <w:szCs w:val="24"/>
        </w:rPr>
        <w:t>However, during the calibration process (see Section 2</w:t>
      </w:r>
      <w:r w:rsidR="00207662" w:rsidRPr="00207662">
        <w:rPr>
          <w:rFonts w:ascii="Times New Roman" w:hAnsi="Times New Roman" w:cs="Times New Roman"/>
          <w:sz w:val="24"/>
          <w:szCs w:val="24"/>
        </w:rPr>
        <w:t>.8</w:t>
      </w:r>
      <w:r w:rsidRPr="00207662">
        <w:rPr>
          <w:rFonts w:ascii="Times New Roman" w:hAnsi="Times New Roman" w:cs="Times New Roman"/>
          <w:sz w:val="24"/>
          <w:szCs w:val="24"/>
        </w:rPr>
        <w:t>), it became clear that the SNZ fertility</w:t>
      </w:r>
      <w:r>
        <w:rPr>
          <w:rFonts w:ascii="Times New Roman" w:hAnsi="Times New Roman" w:cs="Times New Roman"/>
          <w:sz w:val="24"/>
          <w:szCs w:val="24"/>
        </w:rPr>
        <w:t xml:space="preserve"> assumptions generate far too many births</w:t>
      </w:r>
      <w:r w:rsidR="00207662">
        <w:rPr>
          <w:rFonts w:ascii="Times New Roman" w:hAnsi="Times New Roman" w:cs="Times New Roman"/>
          <w:sz w:val="24"/>
          <w:szCs w:val="24"/>
        </w:rPr>
        <w:t xml:space="preserve"> at both the national and subnational levels</w:t>
      </w:r>
      <w:r>
        <w:rPr>
          <w:rFonts w:ascii="Times New Roman" w:hAnsi="Times New Roman" w:cs="Times New Roman"/>
          <w:sz w:val="24"/>
          <w:szCs w:val="24"/>
        </w:rPr>
        <w:t xml:space="preserve">, and resulted in a </w:t>
      </w:r>
      <w:r w:rsidR="00207662">
        <w:rPr>
          <w:rFonts w:ascii="Times New Roman" w:hAnsi="Times New Roman" w:cs="Times New Roman"/>
          <w:sz w:val="24"/>
          <w:szCs w:val="24"/>
        </w:rPr>
        <w:t xml:space="preserve">projected </w:t>
      </w:r>
      <w:r>
        <w:rPr>
          <w:rFonts w:ascii="Times New Roman" w:hAnsi="Times New Roman" w:cs="Times New Roman"/>
          <w:sz w:val="24"/>
          <w:szCs w:val="24"/>
        </w:rPr>
        <w:t>national population that was implausibly high. This was confirmed by comparing the number of projected births by TA for the June years 2018 to 2020, with the actual numbers reported in vital statistics data. In part, this over-projection of births arose because New Zealand has been going through a period of historic low fertility.</w:t>
      </w:r>
      <w:r w:rsidR="00207662">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To better account for this lower-than-expected fertility, we scaled the SNZ fertility assumptions for each TA down </w:t>
      </w:r>
      <w:r w:rsidR="00207662">
        <w:rPr>
          <w:rFonts w:ascii="Times New Roman" w:hAnsi="Times New Roman" w:cs="Times New Roman"/>
          <w:sz w:val="24"/>
          <w:szCs w:val="24"/>
        </w:rPr>
        <w:t>so that they</w:t>
      </w:r>
      <w:r>
        <w:rPr>
          <w:rFonts w:ascii="Times New Roman" w:hAnsi="Times New Roman" w:cs="Times New Roman"/>
          <w:sz w:val="24"/>
          <w:szCs w:val="24"/>
        </w:rPr>
        <w:t xml:space="preserve"> replicate</w:t>
      </w:r>
      <w:r w:rsidR="00207662">
        <w:rPr>
          <w:rFonts w:ascii="Times New Roman" w:hAnsi="Times New Roman" w:cs="Times New Roman"/>
          <w:sz w:val="24"/>
          <w:szCs w:val="24"/>
        </w:rPr>
        <w:t>d</w:t>
      </w:r>
      <w:r>
        <w:rPr>
          <w:rFonts w:ascii="Times New Roman" w:hAnsi="Times New Roman" w:cs="Times New Roman"/>
          <w:sz w:val="24"/>
          <w:szCs w:val="24"/>
        </w:rPr>
        <w:t xml:space="preserve"> the 2018-2020 total number of reported births, then applied the TA-level scaling factors to all of the </w:t>
      </w:r>
      <w:r w:rsidR="00207662">
        <w:rPr>
          <w:rFonts w:ascii="Times New Roman" w:hAnsi="Times New Roman" w:cs="Times New Roman"/>
          <w:sz w:val="24"/>
          <w:szCs w:val="24"/>
        </w:rPr>
        <w:t xml:space="preserve">future </w:t>
      </w:r>
      <w:r>
        <w:rPr>
          <w:rFonts w:ascii="Times New Roman" w:hAnsi="Times New Roman" w:cs="Times New Roman"/>
          <w:sz w:val="24"/>
          <w:szCs w:val="24"/>
        </w:rPr>
        <w:t>projected age-specific fertility rates. Ultimately though, a better approach for future projections may be to generate our own age-specific fertility rate projections</w:t>
      </w:r>
      <w:r w:rsidR="00207662">
        <w:rPr>
          <w:rFonts w:ascii="Times New Roman" w:hAnsi="Times New Roman" w:cs="Times New Roman"/>
          <w:sz w:val="24"/>
          <w:szCs w:val="24"/>
        </w:rPr>
        <w:t xml:space="preserve"> that adequately capture current fertility trends</w:t>
      </w:r>
      <w:r>
        <w:rPr>
          <w:rFonts w:ascii="Times New Roman" w:hAnsi="Times New Roman" w:cs="Times New Roman"/>
          <w:sz w:val="24"/>
          <w:szCs w:val="24"/>
        </w:rPr>
        <w:t>. We leave this as an exercise for future improvements in the projections model.</w:t>
      </w:r>
    </w:p>
    <w:p w14:paraId="00BA2919" w14:textId="77777777" w:rsidR="00514F27" w:rsidRPr="006B4F05" w:rsidRDefault="00207662" w:rsidP="00BE28F6">
      <w:pPr>
        <w:spacing w:line="360" w:lineRule="auto"/>
        <w:jc w:val="both"/>
        <w:rPr>
          <w:rFonts w:ascii="Times New Roman" w:hAnsi="Times New Roman" w:cs="Times New Roman"/>
          <w:sz w:val="24"/>
          <w:szCs w:val="24"/>
        </w:rPr>
      </w:pPr>
      <w:r>
        <w:rPr>
          <w:rFonts w:ascii="Times New Roman" w:hAnsi="Times New Roman" w:cs="Times New Roman"/>
          <w:sz w:val="24"/>
          <w:szCs w:val="24"/>
        </w:rPr>
        <w:t>In terms of mortality, a</w:t>
      </w:r>
      <w:r w:rsidR="00514F27" w:rsidRPr="006B4F05">
        <w:rPr>
          <w:rFonts w:ascii="Times New Roman" w:hAnsi="Times New Roman" w:cs="Times New Roman"/>
          <w:sz w:val="24"/>
          <w:szCs w:val="24"/>
        </w:rPr>
        <w:t xml:space="preserve">ge-specific survivorship rates by single-year-of-age and sex were derived by first interpolating the survivorship rates from the subnational abridged life tables for each territorial authority using the national life tables by single-year-of-age. The resulting </w:t>
      </w:r>
      <w:r w:rsidR="00514F27" w:rsidRPr="006B4F05">
        <w:rPr>
          <w:rFonts w:ascii="Times New Roman" w:hAnsi="Times New Roman" w:cs="Times New Roman"/>
          <w:sz w:val="24"/>
          <w:szCs w:val="24"/>
        </w:rPr>
        <w:lastRenderedPageBreak/>
        <w:t>profiles were then scaled to match the projected life expectancy at birth for each territorial authority. Life expectancy at birth for each territorial authority was assumed to follow the SNZ projections to 2</w:t>
      </w:r>
      <w:r w:rsidR="001C4663">
        <w:rPr>
          <w:rFonts w:ascii="Times New Roman" w:hAnsi="Times New Roman" w:cs="Times New Roman"/>
          <w:sz w:val="24"/>
          <w:szCs w:val="24"/>
        </w:rPr>
        <w:t>043</w:t>
      </w:r>
      <w:r w:rsidR="00BE28F6">
        <w:rPr>
          <w:rFonts w:ascii="Times New Roman" w:hAnsi="Times New Roman" w:cs="Times New Roman"/>
          <w:sz w:val="24"/>
          <w:szCs w:val="24"/>
        </w:rPr>
        <w:t>,</w:t>
      </w:r>
      <w:r w:rsidR="00514F27" w:rsidRPr="006B4F05">
        <w:rPr>
          <w:rFonts w:ascii="Times New Roman" w:hAnsi="Times New Roman" w:cs="Times New Roman"/>
          <w:sz w:val="24"/>
          <w:szCs w:val="24"/>
        </w:rPr>
        <w:t xml:space="preserve"> then </w:t>
      </w:r>
      <w:r w:rsidR="00BE28F6">
        <w:rPr>
          <w:rFonts w:ascii="Times New Roman" w:hAnsi="Times New Roman" w:cs="Times New Roman"/>
          <w:sz w:val="24"/>
          <w:szCs w:val="24"/>
        </w:rPr>
        <w:t>continue to improve in a linear fashion through until 2068</w:t>
      </w:r>
      <w:r w:rsidR="00514F27" w:rsidRPr="006B4F05">
        <w:rPr>
          <w:rFonts w:ascii="Times New Roman" w:hAnsi="Times New Roman" w:cs="Times New Roman"/>
          <w:sz w:val="24"/>
          <w:szCs w:val="24"/>
        </w:rPr>
        <w:t>.</w:t>
      </w:r>
      <w:r w:rsidR="00BE28F6">
        <w:rPr>
          <w:rFonts w:ascii="Times New Roman" w:hAnsi="Times New Roman" w:cs="Times New Roman"/>
          <w:sz w:val="24"/>
          <w:szCs w:val="24"/>
        </w:rPr>
        <w:t xml:space="preserve"> This represents a slight modification on the previous mortality assumptions, which assumed no </w:t>
      </w:r>
      <w:r w:rsidR="00BE28F6" w:rsidRPr="00207662">
        <w:rPr>
          <w:rFonts w:ascii="Times New Roman" w:hAnsi="Times New Roman" w:cs="Times New Roman"/>
          <w:sz w:val="24"/>
          <w:szCs w:val="24"/>
        </w:rPr>
        <w:t>further improvements in life expectancy after 2043 (Cameron and Cochrane, 2016).</w:t>
      </w:r>
    </w:p>
    <w:p w14:paraId="00C7497A" w14:textId="77777777" w:rsidR="00514F27" w:rsidRPr="006B4F05" w:rsidRDefault="00514F27" w:rsidP="00514F27">
      <w:pPr>
        <w:spacing w:line="360" w:lineRule="auto"/>
        <w:jc w:val="both"/>
        <w:rPr>
          <w:rFonts w:ascii="Times New Roman" w:hAnsi="Times New Roman" w:cs="Times New Roman"/>
          <w:sz w:val="24"/>
          <w:szCs w:val="24"/>
        </w:rPr>
      </w:pPr>
    </w:p>
    <w:p w14:paraId="785A72EF" w14:textId="77777777" w:rsidR="00514F27" w:rsidRPr="006B4F05" w:rsidRDefault="00514F27" w:rsidP="00DB4964">
      <w:pPr>
        <w:spacing w:line="360" w:lineRule="auto"/>
        <w:jc w:val="both"/>
        <w:rPr>
          <w:rFonts w:ascii="Times New Roman" w:hAnsi="Times New Roman" w:cs="Times New Roman"/>
          <w:i/>
          <w:sz w:val="24"/>
          <w:szCs w:val="24"/>
        </w:rPr>
      </w:pPr>
      <w:r w:rsidRPr="00DB4964">
        <w:rPr>
          <w:rFonts w:ascii="Times New Roman" w:hAnsi="Times New Roman" w:cs="Times New Roman"/>
          <w:i/>
          <w:sz w:val="24"/>
          <w:szCs w:val="24"/>
        </w:rPr>
        <w:t xml:space="preserve">2.5 </w:t>
      </w:r>
      <w:r w:rsidR="00DB4964" w:rsidRPr="00DB4964">
        <w:rPr>
          <w:rFonts w:ascii="Times New Roman" w:hAnsi="Times New Roman" w:cs="Times New Roman"/>
          <w:i/>
          <w:sz w:val="24"/>
          <w:szCs w:val="24"/>
        </w:rPr>
        <w:t xml:space="preserve">Internal </w:t>
      </w:r>
      <w:r w:rsidRPr="00DB4964">
        <w:rPr>
          <w:rFonts w:ascii="Times New Roman" w:hAnsi="Times New Roman" w:cs="Times New Roman"/>
          <w:i/>
          <w:sz w:val="24"/>
          <w:szCs w:val="24"/>
        </w:rPr>
        <w:t xml:space="preserve">Migration </w:t>
      </w:r>
      <w:r w:rsidR="00DB4964" w:rsidRPr="00DB4964">
        <w:rPr>
          <w:rFonts w:ascii="Times New Roman" w:hAnsi="Times New Roman" w:cs="Times New Roman"/>
          <w:i/>
          <w:sz w:val="24"/>
          <w:szCs w:val="24"/>
        </w:rPr>
        <w:t>Model</w:t>
      </w:r>
    </w:p>
    <w:p w14:paraId="40F82735" w14:textId="77777777" w:rsidR="003F703D" w:rsidRDefault="00DB4964" w:rsidP="0081725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 departure from previous University of Waikato </w:t>
      </w:r>
      <w:r w:rsidR="00374C47">
        <w:rPr>
          <w:rFonts w:ascii="Times New Roman" w:hAnsi="Times New Roman" w:cs="Times New Roman"/>
          <w:sz w:val="24"/>
          <w:szCs w:val="24"/>
        </w:rPr>
        <w:t xml:space="preserve">population projection </w:t>
      </w:r>
      <w:r>
        <w:rPr>
          <w:rFonts w:ascii="Times New Roman" w:hAnsi="Times New Roman" w:cs="Times New Roman"/>
          <w:sz w:val="24"/>
          <w:szCs w:val="24"/>
        </w:rPr>
        <w:t>models, we derive the internal migration flows using a gravity model. The gravity model of migration is an empirical regularity, and recognises that the migration flow between two places</w:t>
      </w:r>
      <w:r w:rsidR="003F703D">
        <w:rPr>
          <w:rFonts w:ascii="Times New Roman" w:hAnsi="Times New Roman" w:cs="Times New Roman"/>
          <w:sz w:val="24"/>
          <w:szCs w:val="24"/>
        </w:rPr>
        <w:t xml:space="preserve"> (the origin</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i</w:t>
      </w:r>
      <w:proofErr w:type="spellEnd"/>
      <w:r w:rsidR="003F703D">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and</w:t>
      </w:r>
      <w:r w:rsidR="003F703D">
        <w:rPr>
          <w:rFonts w:ascii="Times New Roman" w:hAnsi="Times New Roman" w:cs="Times New Roman"/>
          <w:sz w:val="24"/>
          <w:szCs w:val="24"/>
        </w:rPr>
        <w:t xml:space="preserve"> the destination</w:t>
      </w:r>
      <w:r>
        <w:rPr>
          <w:rFonts w:ascii="Times New Roman" w:hAnsi="Times New Roman" w:cs="Times New Roman"/>
          <w:sz w:val="24"/>
          <w:szCs w:val="24"/>
        </w:rPr>
        <w:t xml:space="preserve"> </w:t>
      </w:r>
      <w:r w:rsidRPr="00DB4964">
        <w:rPr>
          <w:rFonts w:ascii="Times New Roman" w:hAnsi="Times New Roman" w:cs="Times New Roman"/>
          <w:i/>
          <w:iCs/>
          <w:sz w:val="24"/>
          <w:szCs w:val="24"/>
        </w:rPr>
        <w:t>j</w:t>
      </w:r>
      <w:r w:rsidR="003F703D">
        <w:rPr>
          <w:rFonts w:ascii="Times New Roman" w:hAnsi="Times New Roman" w:cs="Times New Roman"/>
          <w:sz w:val="24"/>
          <w:szCs w:val="24"/>
        </w:rPr>
        <w:t>)</w:t>
      </w:r>
      <w:r>
        <w:rPr>
          <w:rFonts w:ascii="Times New Roman" w:hAnsi="Times New Roman" w:cs="Times New Roman"/>
          <w:sz w:val="24"/>
          <w:szCs w:val="24"/>
        </w:rPr>
        <w:t xml:space="preserve"> </w:t>
      </w:r>
      <w:r w:rsidR="003F703D">
        <w:rPr>
          <w:rFonts w:ascii="Times New Roman" w:hAnsi="Times New Roman" w:cs="Times New Roman"/>
          <w:sz w:val="24"/>
          <w:szCs w:val="24"/>
        </w:rPr>
        <w:t>depends on the ‘economic mass’ of the origin and destination (proxied by the population size), and the distance between them</w:t>
      </w:r>
      <w:r w:rsidR="00A44E0B">
        <w:rPr>
          <w:rFonts w:ascii="Times New Roman" w:hAnsi="Times New Roman" w:cs="Times New Roman"/>
          <w:sz w:val="24"/>
          <w:szCs w:val="24"/>
        </w:rPr>
        <w:t xml:space="preserve"> (</w:t>
      </w:r>
      <w:r w:rsidR="00374C47">
        <w:rPr>
          <w:rFonts w:ascii="Times New Roman" w:hAnsi="Times New Roman" w:cs="Times New Roman"/>
          <w:sz w:val="24"/>
          <w:szCs w:val="24"/>
        </w:rPr>
        <w:t>Poot et al., 2016</w:t>
      </w:r>
      <w:r w:rsidR="00A44E0B">
        <w:rPr>
          <w:rFonts w:ascii="Times New Roman" w:hAnsi="Times New Roman" w:cs="Times New Roman"/>
          <w:sz w:val="24"/>
          <w:szCs w:val="24"/>
        </w:rPr>
        <w:t>)</w:t>
      </w:r>
      <w:r w:rsidR="003F703D">
        <w:rPr>
          <w:rFonts w:ascii="Times New Roman" w:hAnsi="Times New Roman" w:cs="Times New Roman"/>
          <w:sz w:val="24"/>
          <w:szCs w:val="24"/>
        </w:rPr>
        <w:t xml:space="preserve">. Specifically, migration flows (in both directions) between larger origins and destinations, and between places that are closer together, are </w:t>
      </w:r>
      <w:r w:rsidR="0081725C">
        <w:rPr>
          <w:rFonts w:ascii="Times New Roman" w:hAnsi="Times New Roman" w:cs="Times New Roman"/>
          <w:sz w:val="24"/>
          <w:szCs w:val="24"/>
        </w:rPr>
        <w:t>substantially</w:t>
      </w:r>
      <w:r w:rsidR="003F703D">
        <w:rPr>
          <w:rFonts w:ascii="Times New Roman" w:hAnsi="Times New Roman" w:cs="Times New Roman"/>
          <w:sz w:val="24"/>
          <w:szCs w:val="24"/>
        </w:rPr>
        <w:t xml:space="preserve"> larger</w:t>
      </w:r>
      <w:r w:rsidR="0081725C">
        <w:rPr>
          <w:rFonts w:ascii="Times New Roman" w:hAnsi="Times New Roman" w:cs="Times New Roman"/>
          <w:sz w:val="24"/>
          <w:szCs w:val="24"/>
        </w:rPr>
        <w:t xml:space="preserve"> (holding other factors constant)</w:t>
      </w:r>
      <w:r w:rsidR="003F703D">
        <w:rPr>
          <w:rFonts w:ascii="Times New Roman" w:hAnsi="Times New Roman" w:cs="Times New Roman"/>
          <w:sz w:val="24"/>
          <w:szCs w:val="24"/>
        </w:rPr>
        <w:t xml:space="preserve"> than migration flows between smaller origins and destinations, and between places that are further apart.</w:t>
      </w:r>
    </w:p>
    <w:p w14:paraId="0B04E876" w14:textId="77777777" w:rsidR="0081725C" w:rsidRDefault="003F703D" w:rsidP="0081725C">
      <w:pPr>
        <w:spacing w:line="360" w:lineRule="auto"/>
        <w:jc w:val="both"/>
        <w:rPr>
          <w:rFonts w:ascii="Times New Roman" w:hAnsi="Times New Roman" w:cs="Times New Roman"/>
          <w:sz w:val="24"/>
          <w:szCs w:val="24"/>
        </w:rPr>
      </w:pPr>
      <w:r w:rsidRPr="00BE7ACD">
        <w:rPr>
          <w:rFonts w:ascii="Times New Roman" w:hAnsi="Times New Roman" w:cs="Times New Roman"/>
          <w:sz w:val="24"/>
          <w:szCs w:val="24"/>
        </w:rPr>
        <w:t xml:space="preserve">We </w:t>
      </w:r>
      <w:r w:rsidR="0081725C">
        <w:rPr>
          <w:rFonts w:ascii="Times New Roman" w:hAnsi="Times New Roman" w:cs="Times New Roman"/>
          <w:sz w:val="24"/>
          <w:szCs w:val="24"/>
        </w:rPr>
        <w:t xml:space="preserve">first </w:t>
      </w:r>
      <w:r w:rsidRPr="00BE7ACD">
        <w:rPr>
          <w:rFonts w:ascii="Times New Roman" w:hAnsi="Times New Roman" w:cs="Times New Roman"/>
          <w:sz w:val="24"/>
          <w:szCs w:val="24"/>
        </w:rPr>
        <w:t>estimated</w:t>
      </w:r>
      <w:r w:rsidR="00BE7ACD">
        <w:rPr>
          <w:rFonts w:ascii="Times New Roman" w:hAnsi="Times New Roman" w:cs="Times New Roman"/>
          <w:sz w:val="24"/>
          <w:szCs w:val="24"/>
        </w:rPr>
        <w:t xml:space="preserve"> the internal migration gravity model using </w:t>
      </w:r>
      <w:r w:rsidR="0081725C">
        <w:rPr>
          <w:rFonts w:ascii="Times New Roman" w:hAnsi="Times New Roman" w:cs="Times New Roman"/>
          <w:sz w:val="24"/>
          <w:szCs w:val="24"/>
        </w:rPr>
        <w:t xml:space="preserve">2013 and 2018 Census </w:t>
      </w:r>
      <w:r w:rsidR="00BE7ACD">
        <w:rPr>
          <w:rFonts w:ascii="Times New Roman" w:hAnsi="Times New Roman" w:cs="Times New Roman"/>
          <w:sz w:val="24"/>
          <w:szCs w:val="24"/>
        </w:rPr>
        <w:t>data on internal migration flows, population es</w:t>
      </w:r>
      <w:r w:rsidR="0081725C">
        <w:rPr>
          <w:rFonts w:ascii="Times New Roman" w:hAnsi="Times New Roman" w:cs="Times New Roman"/>
          <w:sz w:val="24"/>
          <w:szCs w:val="24"/>
        </w:rPr>
        <w:t>timates, and inter-TA distances</w:t>
      </w:r>
      <w:r w:rsidR="00BE7ACD">
        <w:rPr>
          <w:rFonts w:ascii="Times New Roman" w:hAnsi="Times New Roman" w:cs="Times New Roman"/>
          <w:sz w:val="24"/>
          <w:szCs w:val="24"/>
        </w:rPr>
        <w:t>. We limit</w:t>
      </w:r>
      <w:r w:rsidR="0081725C">
        <w:rPr>
          <w:rFonts w:ascii="Times New Roman" w:hAnsi="Times New Roman" w:cs="Times New Roman"/>
          <w:sz w:val="24"/>
          <w:szCs w:val="24"/>
        </w:rPr>
        <w:t>ed</w:t>
      </w:r>
      <w:r w:rsidR="00BE7ACD">
        <w:rPr>
          <w:rFonts w:ascii="Times New Roman" w:hAnsi="Times New Roman" w:cs="Times New Roman"/>
          <w:sz w:val="24"/>
          <w:szCs w:val="24"/>
        </w:rPr>
        <w:t xml:space="preserve"> our analysis to tw</w:t>
      </w:r>
      <w:r w:rsidR="0081725C">
        <w:rPr>
          <w:rFonts w:ascii="Times New Roman" w:hAnsi="Times New Roman" w:cs="Times New Roman"/>
          <w:sz w:val="24"/>
          <w:szCs w:val="24"/>
        </w:rPr>
        <w:t xml:space="preserve">o consecutive Censuses to avoid, because taking more data could lead us to under-weight more recent structural factors that affect </w:t>
      </w:r>
      <w:r w:rsidR="00BE7ACD">
        <w:rPr>
          <w:rFonts w:ascii="Times New Roman" w:hAnsi="Times New Roman" w:cs="Times New Roman"/>
          <w:sz w:val="24"/>
          <w:szCs w:val="24"/>
        </w:rPr>
        <w:t>internal migration</w:t>
      </w:r>
      <w:r w:rsidR="0081725C">
        <w:rPr>
          <w:rFonts w:ascii="Times New Roman" w:hAnsi="Times New Roman" w:cs="Times New Roman"/>
          <w:sz w:val="24"/>
          <w:szCs w:val="24"/>
        </w:rPr>
        <w:t xml:space="preserve"> and over-weight historical trends</w:t>
      </w:r>
      <w:r w:rsidR="00BE7ACD">
        <w:rPr>
          <w:rFonts w:ascii="Times New Roman" w:hAnsi="Times New Roman" w:cs="Times New Roman"/>
          <w:sz w:val="24"/>
          <w:szCs w:val="24"/>
        </w:rPr>
        <w:t xml:space="preserve">. </w:t>
      </w:r>
    </w:p>
    <w:p w14:paraId="56569FED" w14:textId="77777777" w:rsidR="003F703D" w:rsidRDefault="00BE7ACD" w:rsidP="00854740">
      <w:pPr>
        <w:spacing w:line="360" w:lineRule="auto"/>
        <w:jc w:val="both"/>
        <w:rPr>
          <w:rFonts w:ascii="Times New Roman" w:hAnsi="Times New Roman" w:cs="Times New Roman"/>
          <w:sz w:val="24"/>
          <w:szCs w:val="24"/>
        </w:rPr>
      </w:pPr>
      <w:r>
        <w:rPr>
          <w:rFonts w:ascii="Times New Roman" w:hAnsi="Times New Roman" w:cs="Times New Roman"/>
          <w:sz w:val="24"/>
          <w:szCs w:val="24"/>
        </w:rPr>
        <w:t>Internal migration flows</w:t>
      </w:r>
      <w:r w:rsidR="0081725C">
        <w:rPr>
          <w:rFonts w:ascii="Times New Roman" w:hAnsi="Times New Roman" w:cs="Times New Roman"/>
          <w:sz w:val="24"/>
          <w:szCs w:val="24"/>
        </w:rPr>
        <w:t xml:space="preserve"> data</w:t>
      </w:r>
      <w:r>
        <w:rPr>
          <w:rFonts w:ascii="Times New Roman" w:hAnsi="Times New Roman" w:cs="Times New Roman"/>
          <w:sz w:val="24"/>
          <w:szCs w:val="24"/>
        </w:rPr>
        <w:t xml:space="preserve"> were derived from the Census question on address five years ago, combined with current address. </w:t>
      </w:r>
      <w:r w:rsidR="0081725C">
        <w:rPr>
          <w:rFonts w:ascii="Times New Roman" w:hAnsi="Times New Roman" w:cs="Times New Roman"/>
          <w:sz w:val="24"/>
          <w:szCs w:val="24"/>
        </w:rPr>
        <w:t>We used those data to</w:t>
      </w:r>
      <w:r>
        <w:rPr>
          <w:rFonts w:ascii="Times New Roman" w:hAnsi="Times New Roman" w:cs="Times New Roman"/>
          <w:sz w:val="24"/>
          <w:szCs w:val="24"/>
        </w:rPr>
        <w:t xml:space="preserve"> construct an origin-destination matrix for all people who answered the address-five-years-ago question in the 2013 Census, and anyone for whom the same data were </w:t>
      </w:r>
      <w:r w:rsidR="0081725C">
        <w:rPr>
          <w:rFonts w:ascii="Times New Roman" w:hAnsi="Times New Roman" w:cs="Times New Roman"/>
          <w:sz w:val="24"/>
          <w:szCs w:val="24"/>
        </w:rPr>
        <w:t>available</w:t>
      </w:r>
      <w:r>
        <w:rPr>
          <w:rFonts w:ascii="Times New Roman" w:hAnsi="Times New Roman" w:cs="Times New Roman"/>
          <w:sz w:val="24"/>
          <w:szCs w:val="24"/>
        </w:rPr>
        <w:t xml:space="preserve"> for the 2018 Census.</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Population data </w:t>
      </w:r>
      <w:r w:rsidR="0081725C">
        <w:rPr>
          <w:rFonts w:ascii="Times New Roman" w:hAnsi="Times New Roman" w:cs="Times New Roman"/>
          <w:sz w:val="24"/>
          <w:szCs w:val="24"/>
        </w:rPr>
        <w:t>were</w:t>
      </w:r>
      <w:r>
        <w:rPr>
          <w:rFonts w:ascii="Times New Roman" w:hAnsi="Times New Roman" w:cs="Times New Roman"/>
          <w:sz w:val="24"/>
          <w:szCs w:val="24"/>
        </w:rPr>
        <w:t xml:space="preserve"> the estimated usually resident population by TA at 30 June of 2013 and 2008 (the population at the start of each five-year period). Distance was the straight-line distance between the geographic centroid of each TA. </w:t>
      </w:r>
      <w:r w:rsidR="0081725C">
        <w:rPr>
          <w:rFonts w:ascii="Times New Roman" w:hAnsi="Times New Roman" w:cs="Times New Roman"/>
          <w:sz w:val="24"/>
          <w:szCs w:val="24"/>
        </w:rPr>
        <w:t>Poot</w:t>
      </w:r>
      <w:r>
        <w:rPr>
          <w:rFonts w:ascii="Times New Roman" w:hAnsi="Times New Roman" w:cs="Times New Roman"/>
          <w:sz w:val="24"/>
          <w:szCs w:val="24"/>
        </w:rPr>
        <w:t xml:space="preserve"> et al. (</w:t>
      </w:r>
      <w:r w:rsidR="0081725C">
        <w:rPr>
          <w:rFonts w:ascii="Times New Roman" w:hAnsi="Times New Roman" w:cs="Times New Roman"/>
          <w:sz w:val="24"/>
          <w:szCs w:val="24"/>
        </w:rPr>
        <w:t>2016</w:t>
      </w:r>
      <w:r>
        <w:rPr>
          <w:rFonts w:ascii="Times New Roman" w:hAnsi="Times New Roman" w:cs="Times New Roman"/>
          <w:sz w:val="24"/>
          <w:szCs w:val="24"/>
        </w:rPr>
        <w:t xml:space="preserve">) </w:t>
      </w:r>
      <w:r w:rsidR="0081725C">
        <w:rPr>
          <w:rFonts w:ascii="Times New Roman" w:hAnsi="Times New Roman" w:cs="Times New Roman"/>
          <w:sz w:val="24"/>
          <w:szCs w:val="24"/>
        </w:rPr>
        <w:t>showed</w:t>
      </w:r>
      <w:r>
        <w:rPr>
          <w:rFonts w:ascii="Times New Roman" w:hAnsi="Times New Roman" w:cs="Times New Roman"/>
          <w:sz w:val="24"/>
          <w:szCs w:val="24"/>
        </w:rPr>
        <w:t xml:space="preserve"> that the gravity model is robust to the choice of alternative distance measures. In addition, we included dummy variables for internal migration </w:t>
      </w:r>
      <w:r>
        <w:rPr>
          <w:rFonts w:ascii="Times New Roman" w:hAnsi="Times New Roman" w:cs="Times New Roman"/>
          <w:sz w:val="24"/>
          <w:szCs w:val="24"/>
        </w:rPr>
        <w:lastRenderedPageBreak/>
        <w:t xml:space="preserve">flows between geographically contiguous (i.e. neighbouring) TAs, and between the North and South Islands. Past research has shown that internal migration flows between the islands are </w:t>
      </w:r>
      <w:r w:rsidRPr="00854740">
        <w:rPr>
          <w:rFonts w:ascii="Times New Roman" w:hAnsi="Times New Roman" w:cs="Times New Roman"/>
          <w:sz w:val="24"/>
          <w:szCs w:val="24"/>
        </w:rPr>
        <w:t xml:space="preserve">much lower than can be explained purely by distance (Poot, </w:t>
      </w:r>
      <w:r w:rsidR="0081725C" w:rsidRPr="00854740">
        <w:rPr>
          <w:rFonts w:ascii="Times New Roman" w:hAnsi="Times New Roman" w:cs="Times New Roman"/>
          <w:sz w:val="24"/>
          <w:szCs w:val="24"/>
        </w:rPr>
        <w:t>1986</w:t>
      </w:r>
      <w:r w:rsidRPr="00854740">
        <w:rPr>
          <w:rFonts w:ascii="Times New Roman" w:hAnsi="Times New Roman" w:cs="Times New Roman"/>
          <w:sz w:val="24"/>
          <w:szCs w:val="24"/>
        </w:rPr>
        <w:t>).</w:t>
      </w:r>
      <w:r w:rsidR="00B0705D" w:rsidRPr="00854740">
        <w:rPr>
          <w:rFonts w:ascii="Times New Roman" w:hAnsi="Times New Roman" w:cs="Times New Roman"/>
          <w:sz w:val="24"/>
          <w:szCs w:val="24"/>
        </w:rPr>
        <w:t xml:space="preserve"> To ensure the model picks</w:t>
      </w:r>
      <w:r w:rsidR="00B0705D">
        <w:rPr>
          <w:rFonts w:ascii="Times New Roman" w:hAnsi="Times New Roman" w:cs="Times New Roman"/>
          <w:sz w:val="24"/>
          <w:szCs w:val="24"/>
        </w:rPr>
        <w:t xml:space="preserve"> up idiosyncratic differences in push and pull </w:t>
      </w:r>
      <w:r w:rsidR="00854740">
        <w:rPr>
          <w:rFonts w:ascii="Times New Roman" w:hAnsi="Times New Roman" w:cs="Times New Roman"/>
          <w:sz w:val="24"/>
          <w:szCs w:val="24"/>
        </w:rPr>
        <w:t>factors</w:t>
      </w:r>
      <w:r w:rsidR="00B0705D">
        <w:rPr>
          <w:rFonts w:ascii="Times New Roman" w:hAnsi="Times New Roman" w:cs="Times New Roman"/>
          <w:sz w:val="24"/>
          <w:szCs w:val="24"/>
        </w:rPr>
        <w:t xml:space="preserve"> between TAs, it also includes origin and destination fixed effects. This specification of gravity model has previously been successfully used for inter-regional </w:t>
      </w:r>
      <w:r w:rsidR="00854740">
        <w:rPr>
          <w:rFonts w:ascii="Times New Roman" w:hAnsi="Times New Roman" w:cs="Times New Roman"/>
          <w:sz w:val="24"/>
          <w:szCs w:val="24"/>
        </w:rPr>
        <w:t>(Cameron and Poot, 2014</w:t>
      </w:r>
      <w:r w:rsidR="008F2CF9">
        <w:rPr>
          <w:rFonts w:ascii="Times New Roman" w:hAnsi="Times New Roman" w:cs="Times New Roman"/>
          <w:sz w:val="24"/>
          <w:szCs w:val="24"/>
        </w:rPr>
        <w:t>a; 2014b</w:t>
      </w:r>
      <w:r w:rsidR="00854740">
        <w:rPr>
          <w:rFonts w:ascii="Times New Roman" w:hAnsi="Times New Roman" w:cs="Times New Roman"/>
          <w:sz w:val="24"/>
          <w:szCs w:val="24"/>
        </w:rPr>
        <w:t>) and inter-urban (Poot et al., 2016) migration flows in New Zealand.</w:t>
      </w:r>
    </w:p>
    <w:p w14:paraId="5442359E" w14:textId="77777777" w:rsidR="00B0705D" w:rsidRDefault="00B0705D" w:rsidP="008547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resulting gravity model is shown in Table 1. Overall, the model explains </w:t>
      </w:r>
      <w:r w:rsidR="00854740">
        <w:rPr>
          <w:rFonts w:ascii="Times New Roman" w:hAnsi="Times New Roman" w:cs="Times New Roman"/>
          <w:sz w:val="24"/>
          <w:szCs w:val="24"/>
        </w:rPr>
        <w:t>around</w:t>
      </w:r>
      <w:r>
        <w:rPr>
          <w:rFonts w:ascii="Times New Roman" w:hAnsi="Times New Roman" w:cs="Times New Roman"/>
          <w:sz w:val="24"/>
          <w:szCs w:val="24"/>
        </w:rPr>
        <w:t xml:space="preserve"> 84.9% of the variation in internal migration flows. The origin population is statistically significant and has the expected positive sign. The destination population is not statistically significant and is negative in sign; however, this is not unusual in a gravity model </w:t>
      </w:r>
      <w:r w:rsidR="00854740">
        <w:rPr>
          <w:rFonts w:ascii="Times New Roman" w:hAnsi="Times New Roman" w:cs="Times New Roman"/>
          <w:sz w:val="24"/>
          <w:szCs w:val="24"/>
        </w:rPr>
        <w:t>that also includes both</w:t>
      </w:r>
      <w:r>
        <w:rPr>
          <w:rFonts w:ascii="Times New Roman" w:hAnsi="Times New Roman" w:cs="Times New Roman"/>
          <w:sz w:val="24"/>
          <w:szCs w:val="24"/>
        </w:rPr>
        <w:t xml:space="preserve"> origin and destination fixed effects, and it is not straightforward to interpret the coefficients on the population variables (Cameron and Poot, </w:t>
      </w:r>
      <w:r w:rsidR="00854740">
        <w:rPr>
          <w:rFonts w:ascii="Times New Roman" w:hAnsi="Times New Roman" w:cs="Times New Roman"/>
          <w:sz w:val="24"/>
          <w:szCs w:val="24"/>
        </w:rPr>
        <w:t>2019</w:t>
      </w:r>
      <w:r>
        <w:rPr>
          <w:rFonts w:ascii="Times New Roman" w:hAnsi="Times New Roman" w:cs="Times New Roman"/>
          <w:sz w:val="24"/>
          <w:szCs w:val="24"/>
        </w:rPr>
        <w:t>). The distance variable is negative and highly statistically significant. The contiguity and Cook Strait dummy variables are also statistically significant and of the expected sign.</w:t>
      </w:r>
    </w:p>
    <w:p w14:paraId="0B0FC52B" w14:textId="77777777" w:rsidR="00B0705D" w:rsidRDefault="00B0705D" w:rsidP="00BE7ACD">
      <w:pPr>
        <w:spacing w:line="360" w:lineRule="auto"/>
        <w:jc w:val="both"/>
        <w:rPr>
          <w:rFonts w:ascii="Times New Roman" w:hAnsi="Times New Roman" w:cs="Times New Roman"/>
          <w:sz w:val="24"/>
          <w:szCs w:val="24"/>
        </w:rPr>
      </w:pPr>
      <w:r>
        <w:rPr>
          <w:rFonts w:ascii="Times New Roman" w:hAnsi="Times New Roman" w:cs="Times New Roman"/>
          <w:i/>
          <w:iCs/>
          <w:sz w:val="24"/>
          <w:szCs w:val="24"/>
        </w:rPr>
        <w:t>Table 1: Gravity model of internal migration</w:t>
      </w:r>
    </w:p>
    <w:tbl>
      <w:tblPr>
        <w:tblStyle w:val="TableGrid"/>
        <w:tblW w:w="0" w:type="auto"/>
        <w:tblLook w:val="04A0" w:firstRow="1" w:lastRow="0" w:firstColumn="1" w:lastColumn="0" w:noHBand="0" w:noVBand="1"/>
      </w:tblPr>
      <w:tblGrid>
        <w:gridCol w:w="4463"/>
        <w:gridCol w:w="4463"/>
      </w:tblGrid>
      <w:tr w:rsidR="00854740" w:rsidRPr="00854740" w14:paraId="5024D55E" w14:textId="77777777" w:rsidTr="00854740">
        <w:trPr>
          <w:trHeight w:val="470"/>
        </w:trPr>
        <w:tc>
          <w:tcPr>
            <w:tcW w:w="4463" w:type="dxa"/>
            <w:vAlign w:val="center"/>
          </w:tcPr>
          <w:p w14:paraId="770BC322" w14:textId="77777777" w:rsidR="00854740" w:rsidRPr="00854740" w:rsidRDefault="00854740" w:rsidP="00854740">
            <w:pPr>
              <w:rPr>
                <w:rFonts w:ascii="Times New Roman" w:hAnsi="Times New Roman" w:cs="Times New Roman"/>
                <w:b/>
                <w:bCs/>
                <w:sz w:val="20"/>
                <w:szCs w:val="20"/>
              </w:rPr>
            </w:pPr>
            <w:r w:rsidRPr="00854740">
              <w:rPr>
                <w:rFonts w:ascii="Times New Roman" w:hAnsi="Times New Roman" w:cs="Times New Roman"/>
                <w:b/>
                <w:bCs/>
                <w:sz w:val="20"/>
                <w:szCs w:val="20"/>
              </w:rPr>
              <w:t>Variable</w:t>
            </w:r>
          </w:p>
        </w:tc>
        <w:tc>
          <w:tcPr>
            <w:tcW w:w="4463" w:type="dxa"/>
            <w:vAlign w:val="center"/>
          </w:tcPr>
          <w:p w14:paraId="1949D841" w14:textId="77777777" w:rsidR="00854740" w:rsidRPr="00854740" w:rsidRDefault="00854740" w:rsidP="008F2CF9">
            <w:pPr>
              <w:jc w:val="center"/>
              <w:rPr>
                <w:rFonts w:ascii="Times New Roman" w:hAnsi="Times New Roman" w:cs="Times New Roman"/>
                <w:b/>
                <w:bCs/>
                <w:sz w:val="20"/>
                <w:szCs w:val="20"/>
              </w:rPr>
            </w:pPr>
            <w:r w:rsidRPr="00854740">
              <w:rPr>
                <w:rFonts w:ascii="Times New Roman" w:hAnsi="Times New Roman" w:cs="Times New Roman"/>
                <w:b/>
                <w:bCs/>
                <w:sz w:val="20"/>
                <w:szCs w:val="20"/>
              </w:rPr>
              <w:t>Coefficient</w:t>
            </w:r>
          </w:p>
          <w:p w14:paraId="40F9F47A" w14:textId="77777777" w:rsidR="00854740" w:rsidRPr="00854740" w:rsidRDefault="00854740" w:rsidP="008F2CF9">
            <w:pPr>
              <w:jc w:val="center"/>
              <w:rPr>
                <w:rFonts w:ascii="Times New Roman" w:hAnsi="Times New Roman" w:cs="Times New Roman"/>
                <w:b/>
                <w:bCs/>
                <w:sz w:val="20"/>
                <w:szCs w:val="20"/>
              </w:rPr>
            </w:pPr>
            <w:r w:rsidRPr="00854740">
              <w:rPr>
                <w:rFonts w:ascii="Times New Roman" w:hAnsi="Times New Roman" w:cs="Times New Roman"/>
                <w:b/>
                <w:bCs/>
                <w:sz w:val="20"/>
                <w:szCs w:val="20"/>
              </w:rPr>
              <w:t>(Standard Error)</w:t>
            </w:r>
          </w:p>
        </w:tc>
      </w:tr>
      <w:tr w:rsidR="00854740" w:rsidRPr="006E5E71" w14:paraId="4D3F5D14" w14:textId="77777777" w:rsidTr="00854740">
        <w:trPr>
          <w:trHeight w:val="460"/>
        </w:trPr>
        <w:tc>
          <w:tcPr>
            <w:tcW w:w="4463" w:type="dxa"/>
            <w:vAlign w:val="center"/>
          </w:tcPr>
          <w:p w14:paraId="301A6A51" w14:textId="77777777" w:rsidR="00854740" w:rsidRPr="006E5E71" w:rsidRDefault="00854740" w:rsidP="00854740">
            <w:pPr>
              <w:rPr>
                <w:rFonts w:ascii="Times New Roman" w:hAnsi="Times New Roman" w:cs="Times New Roman"/>
                <w:sz w:val="20"/>
                <w:szCs w:val="20"/>
              </w:rPr>
            </w:pPr>
            <w:r>
              <w:rPr>
                <w:rFonts w:ascii="Times New Roman" w:hAnsi="Times New Roman" w:cs="Times New Roman"/>
                <w:sz w:val="20"/>
                <w:szCs w:val="20"/>
              </w:rPr>
              <w:t>Ln(Origin Population)</w:t>
            </w:r>
          </w:p>
        </w:tc>
        <w:tc>
          <w:tcPr>
            <w:tcW w:w="4463" w:type="dxa"/>
            <w:vAlign w:val="center"/>
          </w:tcPr>
          <w:p w14:paraId="006D5FE0" w14:textId="77777777" w:rsidR="00854740" w:rsidRPr="006E5E71" w:rsidRDefault="00854740" w:rsidP="008F2CF9">
            <w:pPr>
              <w:jc w:val="center"/>
              <w:rPr>
                <w:rFonts w:ascii="Times New Roman" w:hAnsi="Times New Roman" w:cs="Times New Roman"/>
                <w:sz w:val="20"/>
                <w:szCs w:val="20"/>
              </w:rPr>
            </w:pPr>
            <w:r>
              <w:rPr>
                <w:rFonts w:ascii="Times New Roman" w:hAnsi="Times New Roman" w:cs="Times New Roman"/>
                <w:sz w:val="20"/>
                <w:szCs w:val="20"/>
              </w:rPr>
              <w:t>1.171</w:t>
            </w:r>
            <w:r w:rsidRPr="006E5E71">
              <w:rPr>
                <w:rFonts w:ascii="Times New Roman" w:hAnsi="Times New Roman" w:cs="Times New Roman"/>
                <w:sz w:val="20"/>
                <w:szCs w:val="20"/>
                <w:vertAlign w:val="superscript"/>
              </w:rPr>
              <w:t>***</w:t>
            </w:r>
          </w:p>
          <w:p w14:paraId="7F03BB8F" w14:textId="77777777" w:rsidR="00854740" w:rsidRPr="006E5E71" w:rsidRDefault="00854740" w:rsidP="00854740">
            <w:pPr>
              <w:jc w:val="center"/>
              <w:rPr>
                <w:rFonts w:ascii="Times New Roman" w:hAnsi="Times New Roman" w:cs="Times New Roman"/>
                <w:sz w:val="20"/>
                <w:szCs w:val="20"/>
              </w:rPr>
            </w:pPr>
            <w:r>
              <w:rPr>
                <w:rFonts w:ascii="Times New Roman" w:hAnsi="Times New Roman" w:cs="Times New Roman"/>
                <w:sz w:val="20"/>
                <w:szCs w:val="20"/>
              </w:rPr>
              <w:t>(0.289</w:t>
            </w:r>
            <w:r w:rsidRPr="006E5E71">
              <w:rPr>
                <w:rFonts w:ascii="Times New Roman" w:hAnsi="Times New Roman" w:cs="Times New Roman"/>
                <w:sz w:val="20"/>
                <w:szCs w:val="20"/>
              </w:rPr>
              <w:t>)</w:t>
            </w:r>
          </w:p>
        </w:tc>
      </w:tr>
      <w:tr w:rsidR="00854740" w:rsidRPr="006E5E71" w14:paraId="05317466" w14:textId="77777777" w:rsidTr="00854740">
        <w:trPr>
          <w:trHeight w:val="460"/>
        </w:trPr>
        <w:tc>
          <w:tcPr>
            <w:tcW w:w="4463" w:type="dxa"/>
            <w:vAlign w:val="center"/>
          </w:tcPr>
          <w:p w14:paraId="12E29E83" w14:textId="77777777" w:rsidR="00854740" w:rsidRPr="006E5E71" w:rsidRDefault="00854740" w:rsidP="00854740">
            <w:pPr>
              <w:rPr>
                <w:rFonts w:ascii="Times New Roman" w:hAnsi="Times New Roman" w:cs="Times New Roman"/>
                <w:sz w:val="20"/>
                <w:szCs w:val="20"/>
              </w:rPr>
            </w:pPr>
            <w:r>
              <w:rPr>
                <w:rFonts w:ascii="Times New Roman" w:hAnsi="Times New Roman" w:cs="Times New Roman"/>
                <w:sz w:val="20"/>
                <w:szCs w:val="20"/>
              </w:rPr>
              <w:t>Ln(Destination Population)</w:t>
            </w:r>
          </w:p>
        </w:tc>
        <w:tc>
          <w:tcPr>
            <w:tcW w:w="4463" w:type="dxa"/>
            <w:vAlign w:val="center"/>
          </w:tcPr>
          <w:p w14:paraId="1AE7BDB1" w14:textId="77777777" w:rsidR="00854740" w:rsidRPr="006E5E71" w:rsidRDefault="00854740" w:rsidP="008F2CF9">
            <w:pPr>
              <w:jc w:val="center"/>
              <w:rPr>
                <w:rFonts w:ascii="Times New Roman" w:hAnsi="Times New Roman" w:cs="Times New Roman"/>
                <w:sz w:val="20"/>
                <w:szCs w:val="20"/>
              </w:rPr>
            </w:pPr>
            <w:r>
              <w:rPr>
                <w:rFonts w:ascii="Times New Roman" w:hAnsi="Times New Roman" w:cs="Times New Roman"/>
                <w:sz w:val="20"/>
                <w:szCs w:val="20"/>
              </w:rPr>
              <w:t>-0.345</w:t>
            </w:r>
          </w:p>
          <w:p w14:paraId="4764E852" w14:textId="77777777" w:rsidR="00854740" w:rsidRPr="006E5E71" w:rsidRDefault="00854740" w:rsidP="00854740">
            <w:pPr>
              <w:jc w:val="center"/>
              <w:rPr>
                <w:rFonts w:ascii="Times New Roman" w:hAnsi="Times New Roman" w:cs="Times New Roman"/>
                <w:sz w:val="20"/>
                <w:szCs w:val="20"/>
              </w:rPr>
            </w:pPr>
            <w:r>
              <w:rPr>
                <w:rFonts w:ascii="Times New Roman" w:hAnsi="Times New Roman" w:cs="Times New Roman"/>
                <w:sz w:val="20"/>
                <w:szCs w:val="20"/>
              </w:rPr>
              <w:t>(0.275</w:t>
            </w:r>
            <w:r w:rsidRPr="006E5E71">
              <w:rPr>
                <w:rFonts w:ascii="Times New Roman" w:hAnsi="Times New Roman" w:cs="Times New Roman"/>
                <w:sz w:val="20"/>
                <w:szCs w:val="20"/>
              </w:rPr>
              <w:t>)</w:t>
            </w:r>
          </w:p>
        </w:tc>
      </w:tr>
      <w:tr w:rsidR="00854740" w:rsidRPr="006E5E71" w14:paraId="241D6250" w14:textId="77777777" w:rsidTr="00854740">
        <w:trPr>
          <w:trHeight w:val="460"/>
        </w:trPr>
        <w:tc>
          <w:tcPr>
            <w:tcW w:w="4463" w:type="dxa"/>
            <w:vAlign w:val="center"/>
          </w:tcPr>
          <w:p w14:paraId="554B2207" w14:textId="77777777" w:rsidR="00854740" w:rsidRPr="006E5E71" w:rsidRDefault="00854740" w:rsidP="00854740">
            <w:pPr>
              <w:rPr>
                <w:rFonts w:ascii="Times New Roman" w:hAnsi="Times New Roman" w:cs="Times New Roman"/>
                <w:sz w:val="20"/>
                <w:szCs w:val="20"/>
              </w:rPr>
            </w:pPr>
            <w:r>
              <w:rPr>
                <w:rFonts w:ascii="Times New Roman" w:hAnsi="Times New Roman" w:cs="Times New Roman"/>
                <w:sz w:val="20"/>
                <w:szCs w:val="20"/>
              </w:rPr>
              <w:t>Ln(Distance)</w:t>
            </w:r>
          </w:p>
        </w:tc>
        <w:tc>
          <w:tcPr>
            <w:tcW w:w="4463" w:type="dxa"/>
            <w:vAlign w:val="center"/>
          </w:tcPr>
          <w:p w14:paraId="3E65507E" w14:textId="77777777" w:rsidR="00854740" w:rsidRPr="006E5E71" w:rsidRDefault="00854740" w:rsidP="008F2CF9">
            <w:pPr>
              <w:jc w:val="center"/>
              <w:rPr>
                <w:rFonts w:ascii="Times New Roman" w:hAnsi="Times New Roman" w:cs="Times New Roman"/>
                <w:sz w:val="20"/>
                <w:szCs w:val="20"/>
              </w:rPr>
            </w:pPr>
            <w:r>
              <w:rPr>
                <w:rFonts w:ascii="Times New Roman" w:hAnsi="Times New Roman" w:cs="Times New Roman"/>
                <w:sz w:val="20"/>
                <w:szCs w:val="20"/>
              </w:rPr>
              <w:t>-1.010</w:t>
            </w:r>
            <w:r w:rsidRPr="006E5E71">
              <w:rPr>
                <w:rFonts w:ascii="Times New Roman" w:hAnsi="Times New Roman" w:cs="Times New Roman"/>
                <w:sz w:val="20"/>
                <w:szCs w:val="20"/>
                <w:vertAlign w:val="superscript"/>
              </w:rPr>
              <w:t>***</w:t>
            </w:r>
          </w:p>
          <w:p w14:paraId="4FCDC578" w14:textId="77777777" w:rsidR="00854740" w:rsidRPr="006E5E71" w:rsidRDefault="00854740" w:rsidP="00854740">
            <w:pPr>
              <w:jc w:val="center"/>
              <w:rPr>
                <w:rFonts w:ascii="Times New Roman" w:hAnsi="Times New Roman" w:cs="Times New Roman"/>
                <w:sz w:val="20"/>
                <w:szCs w:val="20"/>
              </w:rPr>
            </w:pPr>
            <w:r>
              <w:rPr>
                <w:rFonts w:ascii="Times New Roman" w:hAnsi="Times New Roman" w:cs="Times New Roman"/>
                <w:sz w:val="20"/>
                <w:szCs w:val="20"/>
              </w:rPr>
              <w:t>(0.016</w:t>
            </w:r>
            <w:r w:rsidRPr="006E5E71">
              <w:rPr>
                <w:rFonts w:ascii="Times New Roman" w:hAnsi="Times New Roman" w:cs="Times New Roman"/>
                <w:sz w:val="20"/>
                <w:szCs w:val="20"/>
              </w:rPr>
              <w:t>)</w:t>
            </w:r>
          </w:p>
        </w:tc>
      </w:tr>
      <w:tr w:rsidR="00854740" w:rsidRPr="006E5E71" w14:paraId="715D5305" w14:textId="77777777" w:rsidTr="00854740">
        <w:trPr>
          <w:trHeight w:val="460"/>
        </w:trPr>
        <w:tc>
          <w:tcPr>
            <w:tcW w:w="4463" w:type="dxa"/>
            <w:vAlign w:val="center"/>
          </w:tcPr>
          <w:p w14:paraId="1651691D" w14:textId="77777777" w:rsidR="00854740" w:rsidRPr="006E5E71" w:rsidRDefault="00854740" w:rsidP="00854740">
            <w:pPr>
              <w:rPr>
                <w:rFonts w:ascii="Times New Roman" w:hAnsi="Times New Roman" w:cs="Times New Roman"/>
                <w:sz w:val="20"/>
                <w:szCs w:val="20"/>
              </w:rPr>
            </w:pPr>
            <w:r>
              <w:rPr>
                <w:rFonts w:ascii="Times New Roman" w:hAnsi="Times New Roman" w:cs="Times New Roman"/>
                <w:sz w:val="20"/>
                <w:szCs w:val="20"/>
              </w:rPr>
              <w:t>Cook Strait Dummy</w:t>
            </w:r>
          </w:p>
        </w:tc>
        <w:tc>
          <w:tcPr>
            <w:tcW w:w="4463" w:type="dxa"/>
            <w:vAlign w:val="center"/>
          </w:tcPr>
          <w:p w14:paraId="4C3A2D0A" w14:textId="77777777" w:rsidR="00854740" w:rsidRPr="006E5E71" w:rsidRDefault="00854740" w:rsidP="008F2CF9">
            <w:pPr>
              <w:jc w:val="center"/>
              <w:rPr>
                <w:rFonts w:ascii="Times New Roman" w:hAnsi="Times New Roman" w:cs="Times New Roman"/>
                <w:sz w:val="20"/>
                <w:szCs w:val="20"/>
              </w:rPr>
            </w:pPr>
            <w:r>
              <w:rPr>
                <w:rFonts w:ascii="Times New Roman" w:hAnsi="Times New Roman" w:cs="Times New Roman"/>
                <w:sz w:val="20"/>
                <w:szCs w:val="20"/>
              </w:rPr>
              <w:t>-0.480</w:t>
            </w:r>
            <w:r w:rsidRPr="006E5E71">
              <w:rPr>
                <w:rFonts w:ascii="Times New Roman" w:hAnsi="Times New Roman" w:cs="Times New Roman"/>
                <w:sz w:val="20"/>
                <w:szCs w:val="20"/>
                <w:vertAlign w:val="superscript"/>
              </w:rPr>
              <w:t>***</w:t>
            </w:r>
          </w:p>
          <w:p w14:paraId="6EDEB89D" w14:textId="77777777" w:rsidR="00854740" w:rsidRPr="006E5E71" w:rsidRDefault="00854740" w:rsidP="00854740">
            <w:pPr>
              <w:jc w:val="center"/>
              <w:rPr>
                <w:rFonts w:ascii="Times New Roman" w:hAnsi="Times New Roman" w:cs="Times New Roman"/>
                <w:sz w:val="20"/>
                <w:szCs w:val="20"/>
              </w:rPr>
            </w:pPr>
            <w:r>
              <w:rPr>
                <w:rFonts w:ascii="Times New Roman" w:hAnsi="Times New Roman" w:cs="Times New Roman"/>
                <w:sz w:val="20"/>
                <w:szCs w:val="20"/>
              </w:rPr>
              <w:t>(0.023</w:t>
            </w:r>
            <w:r w:rsidRPr="006E5E71">
              <w:rPr>
                <w:rFonts w:ascii="Times New Roman" w:hAnsi="Times New Roman" w:cs="Times New Roman"/>
                <w:sz w:val="20"/>
                <w:szCs w:val="20"/>
              </w:rPr>
              <w:t>)</w:t>
            </w:r>
          </w:p>
        </w:tc>
      </w:tr>
      <w:tr w:rsidR="00854740" w:rsidRPr="006E5E71" w14:paraId="32DDE33E" w14:textId="77777777" w:rsidTr="00854740">
        <w:trPr>
          <w:trHeight w:val="460"/>
        </w:trPr>
        <w:tc>
          <w:tcPr>
            <w:tcW w:w="4463" w:type="dxa"/>
            <w:vAlign w:val="center"/>
          </w:tcPr>
          <w:p w14:paraId="2446EDEA" w14:textId="77777777" w:rsidR="00854740" w:rsidRPr="006E5E71" w:rsidRDefault="00854740" w:rsidP="00854740">
            <w:pPr>
              <w:rPr>
                <w:rFonts w:ascii="Times New Roman" w:hAnsi="Times New Roman" w:cs="Times New Roman"/>
                <w:sz w:val="20"/>
                <w:szCs w:val="20"/>
              </w:rPr>
            </w:pPr>
            <w:r>
              <w:rPr>
                <w:rFonts w:ascii="Times New Roman" w:hAnsi="Times New Roman" w:cs="Times New Roman"/>
                <w:sz w:val="20"/>
                <w:szCs w:val="20"/>
              </w:rPr>
              <w:t>Contiguity Dummy</w:t>
            </w:r>
          </w:p>
        </w:tc>
        <w:tc>
          <w:tcPr>
            <w:tcW w:w="4463" w:type="dxa"/>
            <w:vAlign w:val="center"/>
          </w:tcPr>
          <w:p w14:paraId="5021F0AA" w14:textId="77777777" w:rsidR="00854740" w:rsidRPr="006E5E71" w:rsidRDefault="00854740" w:rsidP="008F2CF9">
            <w:pPr>
              <w:jc w:val="center"/>
              <w:rPr>
                <w:rFonts w:ascii="Times New Roman" w:hAnsi="Times New Roman" w:cs="Times New Roman"/>
                <w:sz w:val="20"/>
                <w:szCs w:val="20"/>
              </w:rPr>
            </w:pPr>
            <w:r>
              <w:rPr>
                <w:rFonts w:ascii="Times New Roman" w:hAnsi="Times New Roman" w:cs="Times New Roman"/>
                <w:sz w:val="20"/>
                <w:szCs w:val="20"/>
              </w:rPr>
              <w:t>0.536</w:t>
            </w:r>
            <w:r w:rsidRPr="006E5E71">
              <w:rPr>
                <w:rFonts w:ascii="Times New Roman" w:hAnsi="Times New Roman" w:cs="Times New Roman"/>
                <w:sz w:val="20"/>
                <w:szCs w:val="20"/>
                <w:vertAlign w:val="superscript"/>
              </w:rPr>
              <w:t>***</w:t>
            </w:r>
          </w:p>
          <w:p w14:paraId="411A8E9D" w14:textId="77777777" w:rsidR="00854740" w:rsidRPr="006E5E71" w:rsidRDefault="00854740" w:rsidP="00854740">
            <w:pPr>
              <w:jc w:val="center"/>
              <w:rPr>
                <w:rFonts w:ascii="Times New Roman" w:hAnsi="Times New Roman" w:cs="Times New Roman"/>
                <w:sz w:val="20"/>
                <w:szCs w:val="20"/>
              </w:rPr>
            </w:pPr>
            <w:r w:rsidRPr="006E5E71">
              <w:rPr>
                <w:rFonts w:ascii="Times New Roman" w:hAnsi="Times New Roman" w:cs="Times New Roman"/>
                <w:sz w:val="20"/>
                <w:szCs w:val="20"/>
              </w:rPr>
              <w:t>(</w:t>
            </w:r>
            <w:r>
              <w:rPr>
                <w:rFonts w:ascii="Times New Roman" w:hAnsi="Times New Roman" w:cs="Times New Roman"/>
                <w:sz w:val="20"/>
                <w:szCs w:val="20"/>
              </w:rPr>
              <w:t>0.038</w:t>
            </w:r>
            <w:r w:rsidRPr="006E5E71">
              <w:rPr>
                <w:rFonts w:ascii="Times New Roman" w:hAnsi="Times New Roman" w:cs="Times New Roman"/>
                <w:sz w:val="20"/>
                <w:szCs w:val="20"/>
              </w:rPr>
              <w:t>)</w:t>
            </w:r>
          </w:p>
        </w:tc>
      </w:tr>
      <w:tr w:rsidR="00854740" w:rsidRPr="006E5E71" w14:paraId="57E7F8D9" w14:textId="77777777" w:rsidTr="00854740">
        <w:tc>
          <w:tcPr>
            <w:tcW w:w="4463" w:type="dxa"/>
            <w:vAlign w:val="center"/>
          </w:tcPr>
          <w:p w14:paraId="0563A2EF" w14:textId="77777777" w:rsidR="00854740" w:rsidRPr="006E5E71" w:rsidRDefault="00854740" w:rsidP="00854740">
            <w:pPr>
              <w:rPr>
                <w:rFonts w:ascii="Times New Roman" w:hAnsi="Times New Roman" w:cs="Times New Roman"/>
                <w:sz w:val="20"/>
                <w:szCs w:val="20"/>
              </w:rPr>
            </w:pPr>
          </w:p>
        </w:tc>
        <w:tc>
          <w:tcPr>
            <w:tcW w:w="4463" w:type="dxa"/>
            <w:vAlign w:val="center"/>
          </w:tcPr>
          <w:p w14:paraId="5A6E6365" w14:textId="77777777" w:rsidR="00854740" w:rsidRPr="006E5E71" w:rsidRDefault="00854740" w:rsidP="008F2CF9">
            <w:pPr>
              <w:jc w:val="center"/>
              <w:rPr>
                <w:rFonts w:ascii="Times New Roman" w:hAnsi="Times New Roman" w:cs="Times New Roman"/>
                <w:sz w:val="20"/>
                <w:szCs w:val="20"/>
              </w:rPr>
            </w:pPr>
          </w:p>
        </w:tc>
      </w:tr>
      <w:tr w:rsidR="00854740" w:rsidRPr="006E5E71" w14:paraId="47397BA7" w14:textId="77777777" w:rsidTr="00854740">
        <w:tc>
          <w:tcPr>
            <w:tcW w:w="4463" w:type="dxa"/>
            <w:vAlign w:val="center"/>
          </w:tcPr>
          <w:p w14:paraId="794290E5" w14:textId="77777777" w:rsidR="00854740" w:rsidRPr="006E5E71" w:rsidRDefault="00854740" w:rsidP="00854740">
            <w:pPr>
              <w:rPr>
                <w:rFonts w:ascii="Times New Roman" w:hAnsi="Times New Roman" w:cs="Times New Roman"/>
                <w:sz w:val="20"/>
                <w:szCs w:val="20"/>
              </w:rPr>
            </w:pPr>
            <w:r w:rsidRPr="006E5E71">
              <w:rPr>
                <w:rFonts w:ascii="Times New Roman" w:hAnsi="Times New Roman" w:cs="Times New Roman"/>
                <w:sz w:val="20"/>
                <w:szCs w:val="20"/>
              </w:rPr>
              <w:t>N</w:t>
            </w:r>
          </w:p>
        </w:tc>
        <w:tc>
          <w:tcPr>
            <w:tcW w:w="4463" w:type="dxa"/>
            <w:vAlign w:val="center"/>
          </w:tcPr>
          <w:p w14:paraId="09BD88E5" w14:textId="77777777" w:rsidR="00854740" w:rsidRPr="006E5E71" w:rsidRDefault="00854740" w:rsidP="008F2CF9">
            <w:pPr>
              <w:jc w:val="center"/>
              <w:rPr>
                <w:rFonts w:ascii="Times New Roman" w:hAnsi="Times New Roman" w:cs="Times New Roman"/>
                <w:sz w:val="20"/>
                <w:szCs w:val="20"/>
              </w:rPr>
            </w:pPr>
            <w:r>
              <w:rPr>
                <w:rFonts w:ascii="Times New Roman" w:hAnsi="Times New Roman" w:cs="Times New Roman"/>
                <w:sz w:val="20"/>
                <w:szCs w:val="20"/>
              </w:rPr>
              <w:t>7,630</w:t>
            </w:r>
          </w:p>
        </w:tc>
      </w:tr>
      <w:tr w:rsidR="00854740" w:rsidRPr="006E5E71" w14:paraId="3FC19B7F" w14:textId="77777777" w:rsidTr="00854740">
        <w:tc>
          <w:tcPr>
            <w:tcW w:w="4463" w:type="dxa"/>
            <w:vAlign w:val="center"/>
          </w:tcPr>
          <w:p w14:paraId="034993EF" w14:textId="77777777" w:rsidR="00854740" w:rsidRPr="006E5E71" w:rsidRDefault="00854740" w:rsidP="00854740">
            <w:pPr>
              <w:rPr>
                <w:rFonts w:ascii="Times New Roman" w:hAnsi="Times New Roman" w:cs="Times New Roman"/>
                <w:sz w:val="20"/>
                <w:szCs w:val="20"/>
              </w:rPr>
            </w:pPr>
            <w:r w:rsidRPr="006E5E71">
              <w:rPr>
                <w:rFonts w:ascii="Times New Roman" w:hAnsi="Times New Roman" w:cs="Times New Roman"/>
                <w:sz w:val="20"/>
                <w:szCs w:val="20"/>
              </w:rPr>
              <w:t>Adjusted R</w:t>
            </w:r>
            <w:r w:rsidRPr="006E5E71">
              <w:rPr>
                <w:rFonts w:ascii="Times New Roman" w:hAnsi="Times New Roman" w:cs="Times New Roman"/>
                <w:sz w:val="20"/>
                <w:szCs w:val="20"/>
                <w:vertAlign w:val="superscript"/>
              </w:rPr>
              <w:t>2</w:t>
            </w:r>
          </w:p>
        </w:tc>
        <w:tc>
          <w:tcPr>
            <w:tcW w:w="4463" w:type="dxa"/>
            <w:vAlign w:val="center"/>
          </w:tcPr>
          <w:p w14:paraId="38BCD845" w14:textId="77777777" w:rsidR="00854740" w:rsidRPr="006E5E71" w:rsidRDefault="00854740" w:rsidP="00854740">
            <w:pPr>
              <w:jc w:val="center"/>
              <w:rPr>
                <w:rFonts w:ascii="Times New Roman" w:hAnsi="Times New Roman" w:cs="Times New Roman"/>
                <w:sz w:val="20"/>
                <w:szCs w:val="20"/>
              </w:rPr>
            </w:pPr>
            <w:r w:rsidRPr="006E5E71">
              <w:rPr>
                <w:rFonts w:ascii="Times New Roman" w:hAnsi="Times New Roman" w:cs="Times New Roman"/>
                <w:sz w:val="20"/>
                <w:szCs w:val="20"/>
              </w:rPr>
              <w:t>0.</w:t>
            </w:r>
            <w:r>
              <w:rPr>
                <w:rFonts w:ascii="Times New Roman" w:hAnsi="Times New Roman" w:cs="Times New Roman"/>
                <w:sz w:val="20"/>
                <w:szCs w:val="20"/>
              </w:rPr>
              <w:t>8491</w:t>
            </w:r>
          </w:p>
        </w:tc>
      </w:tr>
    </w:tbl>
    <w:p w14:paraId="01772C1C" w14:textId="77777777" w:rsidR="00854740" w:rsidRPr="006E5E71" w:rsidRDefault="00854740" w:rsidP="0085474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N.B. Origin and destination fixed effects are omitted from the table for brevity; </w:t>
      </w:r>
      <w:r w:rsidRPr="006E5E71">
        <w:rPr>
          <w:rFonts w:ascii="Times New Roman" w:hAnsi="Times New Roman" w:cs="Times New Roman"/>
          <w:sz w:val="20"/>
          <w:szCs w:val="20"/>
          <w:vertAlign w:val="superscript"/>
        </w:rPr>
        <w:t>*</w:t>
      </w:r>
      <w:r w:rsidRPr="006E5E71">
        <w:rPr>
          <w:rFonts w:ascii="Times New Roman" w:hAnsi="Times New Roman" w:cs="Times New Roman"/>
          <w:sz w:val="20"/>
          <w:szCs w:val="20"/>
        </w:rPr>
        <w:t xml:space="preserve"> p&lt;0.1; </w:t>
      </w:r>
      <w:r w:rsidRPr="006E5E71">
        <w:rPr>
          <w:rFonts w:ascii="Times New Roman" w:hAnsi="Times New Roman" w:cs="Times New Roman"/>
          <w:sz w:val="20"/>
          <w:szCs w:val="20"/>
          <w:vertAlign w:val="superscript"/>
        </w:rPr>
        <w:t>**</w:t>
      </w:r>
      <w:r w:rsidRPr="006E5E71">
        <w:rPr>
          <w:rFonts w:ascii="Times New Roman" w:hAnsi="Times New Roman" w:cs="Times New Roman"/>
          <w:sz w:val="20"/>
          <w:szCs w:val="20"/>
        </w:rPr>
        <w:t xml:space="preserve"> p&lt;0.05; </w:t>
      </w:r>
      <w:r w:rsidRPr="006E5E71">
        <w:rPr>
          <w:rFonts w:ascii="Times New Roman" w:hAnsi="Times New Roman" w:cs="Times New Roman"/>
          <w:sz w:val="20"/>
          <w:szCs w:val="20"/>
          <w:vertAlign w:val="superscript"/>
        </w:rPr>
        <w:t>***</w:t>
      </w:r>
      <w:r w:rsidRPr="006E5E71">
        <w:rPr>
          <w:rFonts w:ascii="Times New Roman" w:hAnsi="Times New Roman" w:cs="Times New Roman"/>
          <w:sz w:val="20"/>
          <w:szCs w:val="20"/>
        </w:rPr>
        <w:t xml:space="preserve"> p&lt;0.01.</w:t>
      </w:r>
    </w:p>
    <w:p w14:paraId="53E3E0E6" w14:textId="77777777" w:rsidR="00B0705D" w:rsidRPr="00B0705D" w:rsidRDefault="00B0705D" w:rsidP="00BE7ACD">
      <w:pPr>
        <w:spacing w:line="360" w:lineRule="auto"/>
        <w:jc w:val="both"/>
        <w:rPr>
          <w:rFonts w:ascii="Times New Roman" w:hAnsi="Times New Roman" w:cs="Times New Roman"/>
          <w:sz w:val="24"/>
          <w:szCs w:val="24"/>
        </w:rPr>
      </w:pPr>
    </w:p>
    <w:p w14:paraId="6837B045" w14:textId="77777777" w:rsidR="00DB4964" w:rsidRDefault="00B0705D" w:rsidP="008F2CF9">
      <w:pPr>
        <w:spacing w:line="360" w:lineRule="auto"/>
        <w:jc w:val="both"/>
        <w:rPr>
          <w:rFonts w:ascii="Times New Roman" w:hAnsi="Times New Roman" w:cs="Times New Roman"/>
          <w:sz w:val="24"/>
          <w:szCs w:val="24"/>
        </w:rPr>
      </w:pPr>
      <w:r w:rsidRPr="008F2CF9">
        <w:rPr>
          <w:rFonts w:ascii="Times New Roman" w:hAnsi="Times New Roman" w:cs="Times New Roman"/>
          <w:sz w:val="24"/>
          <w:szCs w:val="24"/>
        </w:rPr>
        <w:t>The gravity model shown in Table 1 was embedded within the population model. The projected</w:t>
      </w:r>
      <w:r>
        <w:rPr>
          <w:rFonts w:ascii="Times New Roman" w:hAnsi="Times New Roman" w:cs="Times New Roman"/>
          <w:sz w:val="24"/>
          <w:szCs w:val="24"/>
        </w:rPr>
        <w:t xml:space="preserve"> internal migration flows depend on the populations of origin and destination at a given point in time, as well as the time-invariant distance, contiguity, and Cook Strait variables, and the fixed effects. The embedding of the gravity model within the population model represents one of the </w:t>
      </w:r>
      <w:r>
        <w:rPr>
          <w:rFonts w:ascii="Times New Roman" w:hAnsi="Times New Roman" w:cs="Times New Roman"/>
          <w:sz w:val="24"/>
          <w:szCs w:val="24"/>
        </w:rPr>
        <w:lastRenderedPageBreak/>
        <w:t>key innovations in this latest population model, and</w:t>
      </w:r>
      <w:r w:rsidR="00DB4964">
        <w:rPr>
          <w:rFonts w:ascii="Times New Roman" w:hAnsi="Times New Roman" w:cs="Times New Roman"/>
          <w:sz w:val="24"/>
          <w:szCs w:val="24"/>
        </w:rPr>
        <w:t xml:space="preserve"> has been developed over a number of years (</w:t>
      </w:r>
      <w:r w:rsidR="008F2CF9">
        <w:rPr>
          <w:rFonts w:ascii="Times New Roman" w:hAnsi="Times New Roman" w:cs="Times New Roman"/>
          <w:sz w:val="24"/>
          <w:szCs w:val="24"/>
        </w:rPr>
        <w:t>Cameron and Poot, 2013; 2014a; 2014b; 2016</w:t>
      </w:r>
      <w:r w:rsidR="00DB4964">
        <w:rPr>
          <w:rFonts w:ascii="Times New Roman" w:hAnsi="Times New Roman" w:cs="Times New Roman"/>
          <w:sz w:val="24"/>
          <w:szCs w:val="24"/>
        </w:rPr>
        <w:t>).</w:t>
      </w:r>
    </w:p>
    <w:p w14:paraId="3B722EC5" w14:textId="77777777" w:rsidR="004E56AE" w:rsidRDefault="00B0705D" w:rsidP="00696377">
      <w:pPr>
        <w:spacing w:line="360" w:lineRule="auto"/>
        <w:jc w:val="both"/>
        <w:rPr>
          <w:rFonts w:ascii="Times New Roman" w:hAnsi="Times New Roman" w:cs="Times New Roman"/>
          <w:sz w:val="24"/>
          <w:szCs w:val="24"/>
        </w:rPr>
      </w:pPr>
      <w:r>
        <w:rPr>
          <w:rFonts w:ascii="Times New Roman" w:hAnsi="Times New Roman" w:cs="Times New Roman"/>
          <w:sz w:val="24"/>
          <w:szCs w:val="24"/>
        </w:rPr>
        <w:t>The gravity model provides a</w:t>
      </w:r>
      <w:r w:rsidR="008F2CF9">
        <w:rPr>
          <w:rFonts w:ascii="Times New Roman" w:hAnsi="Times New Roman" w:cs="Times New Roman"/>
          <w:sz w:val="24"/>
          <w:szCs w:val="24"/>
        </w:rPr>
        <w:t xml:space="preserve"> projection of the</w:t>
      </w:r>
      <w:r>
        <w:rPr>
          <w:rFonts w:ascii="Times New Roman" w:hAnsi="Times New Roman" w:cs="Times New Roman"/>
          <w:sz w:val="24"/>
          <w:szCs w:val="24"/>
        </w:rPr>
        <w:t xml:space="preserve"> </w:t>
      </w:r>
      <w:r>
        <w:rPr>
          <w:rFonts w:ascii="Times New Roman" w:hAnsi="Times New Roman" w:cs="Times New Roman"/>
          <w:i/>
          <w:iCs/>
          <w:sz w:val="24"/>
          <w:szCs w:val="24"/>
        </w:rPr>
        <w:t>total</w:t>
      </w:r>
      <w:r>
        <w:rPr>
          <w:rFonts w:ascii="Times New Roman" w:hAnsi="Times New Roman" w:cs="Times New Roman"/>
          <w:sz w:val="24"/>
          <w:szCs w:val="24"/>
        </w:rPr>
        <w:t xml:space="preserve"> </w:t>
      </w:r>
      <w:r w:rsidR="008F2CF9">
        <w:rPr>
          <w:rFonts w:ascii="Times New Roman" w:hAnsi="Times New Roman" w:cs="Times New Roman"/>
          <w:sz w:val="24"/>
          <w:szCs w:val="24"/>
        </w:rPr>
        <w:t xml:space="preserve">annual </w:t>
      </w:r>
      <w:r>
        <w:rPr>
          <w:rFonts w:ascii="Times New Roman" w:hAnsi="Times New Roman" w:cs="Times New Roman"/>
          <w:sz w:val="24"/>
          <w:szCs w:val="24"/>
        </w:rPr>
        <w:t xml:space="preserve">internal migration flow between each pair of origin and destination TAs in each year. To convert this total into </w:t>
      </w:r>
      <w:r w:rsidRPr="008F2CF9">
        <w:rPr>
          <w:rFonts w:ascii="Times New Roman" w:hAnsi="Times New Roman" w:cs="Times New Roman"/>
          <w:i/>
          <w:iCs/>
          <w:sz w:val="24"/>
          <w:szCs w:val="24"/>
        </w:rPr>
        <w:t>age-sex-specific</w:t>
      </w:r>
      <w:r>
        <w:rPr>
          <w:rFonts w:ascii="Times New Roman" w:hAnsi="Times New Roman" w:cs="Times New Roman"/>
          <w:sz w:val="24"/>
          <w:szCs w:val="24"/>
        </w:rPr>
        <w:t xml:space="preserve"> migration flows, we </w:t>
      </w:r>
      <w:r w:rsidR="00696377">
        <w:rPr>
          <w:rFonts w:ascii="Times New Roman" w:hAnsi="Times New Roman" w:cs="Times New Roman"/>
          <w:sz w:val="24"/>
          <w:szCs w:val="24"/>
        </w:rPr>
        <w:t xml:space="preserve">first </w:t>
      </w:r>
      <w:r>
        <w:rPr>
          <w:rFonts w:ascii="Times New Roman" w:hAnsi="Times New Roman" w:cs="Times New Roman"/>
          <w:sz w:val="24"/>
          <w:szCs w:val="24"/>
        </w:rPr>
        <w:t>estimated</w:t>
      </w:r>
      <w:r w:rsidR="00696377">
        <w:rPr>
          <w:rFonts w:ascii="Times New Roman" w:hAnsi="Times New Roman" w:cs="Times New Roman"/>
          <w:sz w:val="24"/>
          <w:szCs w:val="24"/>
        </w:rPr>
        <w:t xml:space="preserve"> a profile of the age-specific in-migration rates based on address-five-years-ago data for each TA</w:t>
      </w:r>
      <w:r w:rsidR="003D6250">
        <w:rPr>
          <w:rFonts w:ascii="Times New Roman" w:hAnsi="Times New Roman" w:cs="Times New Roman"/>
          <w:sz w:val="24"/>
          <w:szCs w:val="24"/>
        </w:rPr>
        <w:t xml:space="preserve"> from the 2018 Census</w:t>
      </w:r>
      <w:r w:rsidR="00696377">
        <w:rPr>
          <w:rFonts w:ascii="Times New Roman" w:hAnsi="Times New Roman" w:cs="Times New Roman"/>
          <w:sz w:val="24"/>
          <w:szCs w:val="24"/>
        </w:rPr>
        <w:t>.</w:t>
      </w:r>
      <w:r w:rsidR="00696377" w:rsidRPr="00696377">
        <w:rPr>
          <w:rFonts w:ascii="Times New Roman" w:hAnsi="Times New Roman" w:cs="Times New Roman"/>
          <w:sz w:val="24"/>
          <w:szCs w:val="24"/>
        </w:rPr>
        <w:t xml:space="preserve"> </w:t>
      </w:r>
      <w:r w:rsidR="00696377">
        <w:rPr>
          <w:rFonts w:ascii="Times New Roman" w:hAnsi="Times New Roman" w:cs="Times New Roman"/>
          <w:sz w:val="24"/>
          <w:szCs w:val="24"/>
        </w:rPr>
        <w:t xml:space="preserve">The age-specific migration profile for each TA was based on data for that TA as a destination, as this was expected to more accurately reflect age-specific origin-destination internal migration flows. These data were first smoothed using the </w:t>
      </w:r>
      <w:r w:rsidR="00696377" w:rsidRPr="008F2CF9">
        <w:rPr>
          <w:rFonts w:ascii="Times New Roman" w:hAnsi="Times New Roman" w:cs="Times New Roman"/>
          <w:sz w:val="24"/>
          <w:szCs w:val="24"/>
        </w:rPr>
        <w:t>model migration schedule method described by Rogers et al. (1978) and the Microsoft Excel algorithm developed by Wilson (2010). Then, a second round of smoothing was used to reduce</w:t>
      </w:r>
      <w:r w:rsidR="00696377">
        <w:rPr>
          <w:rFonts w:ascii="Times New Roman" w:hAnsi="Times New Roman" w:cs="Times New Roman"/>
          <w:sz w:val="24"/>
          <w:szCs w:val="24"/>
        </w:rPr>
        <w:t xml:space="preserve"> high migration rates at older ages for some </w:t>
      </w:r>
      <w:proofErr w:type="spellStart"/>
      <w:r w:rsidR="00696377">
        <w:rPr>
          <w:rFonts w:ascii="Times New Roman" w:hAnsi="Times New Roman" w:cs="Times New Roman"/>
          <w:sz w:val="24"/>
          <w:szCs w:val="24"/>
        </w:rPr>
        <w:t>TAs.</w:t>
      </w:r>
      <w:proofErr w:type="spellEnd"/>
      <w:r w:rsidR="00696377">
        <w:rPr>
          <w:rFonts w:ascii="Times New Roman" w:hAnsi="Times New Roman" w:cs="Times New Roman"/>
          <w:sz w:val="24"/>
          <w:szCs w:val="24"/>
        </w:rPr>
        <w:t xml:space="preserve"> Finally, each migration profile was standardised to sum to one. Separate migration profiles were not developed by sex, due to the sparse nature of the data for many </w:t>
      </w:r>
      <w:proofErr w:type="spellStart"/>
      <w:r w:rsidR="00696377">
        <w:rPr>
          <w:rFonts w:ascii="Times New Roman" w:hAnsi="Times New Roman" w:cs="Times New Roman"/>
          <w:sz w:val="24"/>
          <w:szCs w:val="24"/>
        </w:rPr>
        <w:t>TAs.</w:t>
      </w:r>
      <w:proofErr w:type="spellEnd"/>
      <w:r w:rsidR="008F2CF9">
        <w:rPr>
          <w:rFonts w:ascii="Times New Roman" w:hAnsi="Times New Roman" w:cs="Times New Roman"/>
          <w:sz w:val="24"/>
          <w:szCs w:val="24"/>
        </w:rPr>
        <w:t xml:space="preserve"> Instead, internal migration flows were assumed to be equally prevalent for each sex (in effect, each migration profile was converted to a sex-specific migration profile that was standardised to sum to 0.5). For some TAs, the migration profile algorithm could not convert to a plausible profile. In those cases, mostly occurring for TAs with small populations (and hence a small number of internal migrants), the profile for a neighbouring TA was substituted. This process was not necessary for any TAs in the Waikato region.</w:t>
      </w:r>
    </w:p>
    <w:p w14:paraId="2678FE08" w14:textId="77777777" w:rsidR="00696377" w:rsidRDefault="00696377" w:rsidP="00696377">
      <w:pPr>
        <w:spacing w:line="360" w:lineRule="auto"/>
        <w:jc w:val="both"/>
        <w:rPr>
          <w:rFonts w:ascii="Times New Roman" w:hAnsi="Times New Roman" w:cs="Times New Roman"/>
          <w:sz w:val="24"/>
          <w:szCs w:val="24"/>
        </w:rPr>
      </w:pPr>
      <w:r>
        <w:rPr>
          <w:rFonts w:ascii="Times New Roman" w:hAnsi="Times New Roman" w:cs="Times New Roman"/>
          <w:sz w:val="24"/>
          <w:szCs w:val="24"/>
        </w:rPr>
        <w:t>An example of a resulting migration profile is shown in Figure 1, for Hamilton City. Note that there is a significant peak in migration flows to Hamilton City at young ages, followed by a tapering off at older ages. In contrast, other TAs often have a peak of in-migration at older ages, representing retirement migration flows.</w:t>
      </w:r>
    </w:p>
    <w:p w14:paraId="0AB630CE" w14:textId="77777777" w:rsidR="000978B5" w:rsidRDefault="000978B5" w:rsidP="00696377">
      <w:pPr>
        <w:spacing w:line="360" w:lineRule="auto"/>
        <w:jc w:val="both"/>
        <w:rPr>
          <w:rFonts w:ascii="Times New Roman" w:hAnsi="Times New Roman" w:cs="Times New Roman"/>
          <w:i/>
          <w:iCs/>
          <w:sz w:val="24"/>
          <w:szCs w:val="24"/>
        </w:rPr>
      </w:pPr>
    </w:p>
    <w:p w14:paraId="0A7B15A6" w14:textId="77777777" w:rsidR="000978B5" w:rsidRPr="006B4F05" w:rsidRDefault="000978B5" w:rsidP="000978B5">
      <w:pPr>
        <w:spacing w:line="360" w:lineRule="auto"/>
        <w:jc w:val="both"/>
        <w:rPr>
          <w:rFonts w:ascii="Times New Roman" w:hAnsi="Times New Roman" w:cs="Times New Roman"/>
          <w:i/>
          <w:sz w:val="24"/>
          <w:szCs w:val="24"/>
        </w:rPr>
      </w:pPr>
      <w:r w:rsidRPr="009D5B7A">
        <w:rPr>
          <w:rFonts w:ascii="Times New Roman" w:hAnsi="Times New Roman" w:cs="Times New Roman"/>
          <w:i/>
          <w:sz w:val="24"/>
          <w:szCs w:val="24"/>
        </w:rPr>
        <w:t>2.6 International Migration Assumptions</w:t>
      </w:r>
    </w:p>
    <w:p w14:paraId="2EFA275F" w14:textId="77777777" w:rsidR="000978B5" w:rsidRDefault="000978B5" w:rsidP="000978B5">
      <w:pPr>
        <w:spacing w:line="360" w:lineRule="auto"/>
        <w:jc w:val="both"/>
        <w:rPr>
          <w:rFonts w:ascii="Times New Roman" w:hAnsi="Times New Roman" w:cs="Times New Roman"/>
          <w:sz w:val="24"/>
          <w:szCs w:val="24"/>
        </w:rPr>
      </w:pPr>
      <w:r>
        <w:rPr>
          <w:rFonts w:ascii="Times New Roman" w:hAnsi="Times New Roman" w:cs="Times New Roman"/>
          <w:sz w:val="24"/>
          <w:szCs w:val="24"/>
        </w:rPr>
        <w:t>International migration flows represent the most challenging component of population change to project, due to the extensive uncertainty over their future trajectory. Our original intention was to model emigration based on a TA-specific partial gravity model, and immigration based on a time series model, with TA-specific immigration flows based on population shares. This is the approach adopted by IPSS in Japan for their subnational projections.</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However, when </w:t>
      </w:r>
      <w:r>
        <w:rPr>
          <w:rFonts w:ascii="Times New Roman" w:hAnsi="Times New Roman" w:cs="Times New Roman"/>
          <w:sz w:val="24"/>
          <w:szCs w:val="24"/>
        </w:rPr>
        <w:lastRenderedPageBreak/>
        <w:t>we tested various structural models of</w:t>
      </w:r>
      <w:r w:rsidRPr="00620434">
        <w:rPr>
          <w:rFonts w:ascii="Times New Roman" w:hAnsi="Times New Roman" w:cs="Times New Roman"/>
          <w:sz w:val="24"/>
          <w:szCs w:val="24"/>
        </w:rPr>
        <w:t xml:space="preserve"> </w:t>
      </w:r>
      <w:r>
        <w:rPr>
          <w:rFonts w:ascii="Times New Roman" w:hAnsi="Times New Roman" w:cs="Times New Roman"/>
          <w:sz w:val="24"/>
          <w:szCs w:val="24"/>
        </w:rPr>
        <w:t xml:space="preserve">international migration flows (immigration and emigration), based on partial gravity models, these models either did not perform well in-sample, or generated projections of future emigration flows that were implausibly large. </w:t>
      </w:r>
    </w:p>
    <w:p w14:paraId="4DC5257A" w14:textId="77777777" w:rsidR="008F2CF9" w:rsidRDefault="008F2CF9" w:rsidP="00696377">
      <w:pPr>
        <w:spacing w:line="360" w:lineRule="auto"/>
        <w:jc w:val="both"/>
        <w:rPr>
          <w:rFonts w:ascii="Times New Roman" w:hAnsi="Times New Roman" w:cs="Times New Roman"/>
          <w:i/>
          <w:iCs/>
          <w:sz w:val="24"/>
          <w:szCs w:val="24"/>
        </w:rPr>
      </w:pPr>
    </w:p>
    <w:p w14:paraId="1F3B9B7B" w14:textId="77777777" w:rsidR="00696377" w:rsidRDefault="00696377" w:rsidP="00696377">
      <w:pPr>
        <w:spacing w:line="360" w:lineRule="auto"/>
        <w:jc w:val="both"/>
        <w:rPr>
          <w:rFonts w:ascii="Times New Roman" w:hAnsi="Times New Roman" w:cs="Times New Roman"/>
          <w:sz w:val="24"/>
          <w:szCs w:val="24"/>
        </w:rPr>
      </w:pPr>
      <w:r>
        <w:rPr>
          <w:rFonts w:ascii="Times New Roman" w:hAnsi="Times New Roman" w:cs="Times New Roman"/>
          <w:i/>
          <w:iCs/>
          <w:sz w:val="24"/>
          <w:szCs w:val="24"/>
        </w:rPr>
        <w:t>Figure 1: Age-specific in-</w:t>
      </w:r>
      <w:r w:rsidR="007C0D30">
        <w:rPr>
          <w:rFonts w:ascii="Times New Roman" w:hAnsi="Times New Roman" w:cs="Times New Roman"/>
          <w:i/>
          <w:iCs/>
          <w:sz w:val="24"/>
          <w:szCs w:val="24"/>
        </w:rPr>
        <w:t>migration</w:t>
      </w:r>
      <w:r>
        <w:rPr>
          <w:rFonts w:ascii="Times New Roman" w:hAnsi="Times New Roman" w:cs="Times New Roman"/>
          <w:i/>
          <w:iCs/>
          <w:sz w:val="24"/>
          <w:szCs w:val="24"/>
        </w:rPr>
        <w:t xml:space="preserve"> profile for Hamilton City</w:t>
      </w:r>
    </w:p>
    <w:p w14:paraId="4CC86F36" w14:textId="77777777" w:rsidR="00696377" w:rsidRDefault="004F16E6" w:rsidP="00696377">
      <w:pPr>
        <w:spacing w:line="360" w:lineRule="auto"/>
        <w:jc w:val="both"/>
        <w:rPr>
          <w:rFonts w:ascii="Times New Roman" w:hAnsi="Times New Roman" w:cs="Times New Roman"/>
          <w:sz w:val="24"/>
          <w:szCs w:val="24"/>
        </w:rPr>
      </w:pPr>
      <w:r w:rsidRPr="004F16E6">
        <w:rPr>
          <w:noProof/>
        </w:rPr>
        <w:drawing>
          <wp:inline distT="0" distB="0" distL="0" distR="0" wp14:anchorId="67A86146" wp14:editId="41A8A008">
            <wp:extent cx="5731510" cy="4064162"/>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4064162"/>
                    </a:xfrm>
                    <a:prstGeom prst="rect">
                      <a:avLst/>
                    </a:prstGeom>
                    <a:noFill/>
                    <a:ln>
                      <a:noFill/>
                    </a:ln>
                  </pic:spPr>
                </pic:pic>
              </a:graphicData>
            </a:graphic>
          </wp:inline>
        </w:drawing>
      </w:r>
    </w:p>
    <w:p w14:paraId="405F46EE" w14:textId="77777777" w:rsidR="004F16E6" w:rsidRPr="00B0705D" w:rsidRDefault="004F16E6" w:rsidP="00696377">
      <w:pPr>
        <w:spacing w:line="360" w:lineRule="auto"/>
        <w:jc w:val="both"/>
        <w:rPr>
          <w:rFonts w:ascii="Times New Roman" w:hAnsi="Times New Roman" w:cs="Times New Roman"/>
          <w:sz w:val="24"/>
          <w:szCs w:val="24"/>
        </w:rPr>
      </w:pPr>
    </w:p>
    <w:p w14:paraId="2230E9E9" w14:textId="77777777" w:rsidR="00620434" w:rsidRDefault="003D6250" w:rsidP="003D6250">
      <w:p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0066297C">
        <w:rPr>
          <w:rFonts w:ascii="Times New Roman" w:hAnsi="Times New Roman" w:cs="Times New Roman"/>
          <w:sz w:val="24"/>
          <w:szCs w:val="24"/>
        </w:rPr>
        <w:t>e</w:t>
      </w:r>
      <w:r>
        <w:rPr>
          <w:rFonts w:ascii="Times New Roman" w:hAnsi="Times New Roman" w:cs="Times New Roman"/>
          <w:sz w:val="24"/>
          <w:szCs w:val="24"/>
        </w:rPr>
        <w:t xml:space="preserve"> then</w:t>
      </w:r>
      <w:r w:rsidR="0066297C">
        <w:rPr>
          <w:rFonts w:ascii="Times New Roman" w:hAnsi="Times New Roman" w:cs="Times New Roman"/>
          <w:sz w:val="24"/>
          <w:szCs w:val="24"/>
        </w:rPr>
        <w:t xml:space="preserve"> tested various</w:t>
      </w:r>
      <w:r w:rsidR="00620434">
        <w:rPr>
          <w:rFonts w:ascii="Times New Roman" w:hAnsi="Times New Roman" w:cs="Times New Roman"/>
          <w:sz w:val="24"/>
          <w:szCs w:val="24"/>
        </w:rPr>
        <w:t xml:space="preserve"> time series econometric models of </w:t>
      </w:r>
      <w:r w:rsidR="0066297C">
        <w:rPr>
          <w:rFonts w:ascii="Times New Roman" w:hAnsi="Times New Roman" w:cs="Times New Roman"/>
          <w:sz w:val="24"/>
          <w:szCs w:val="24"/>
        </w:rPr>
        <w:t xml:space="preserve">national-level </w:t>
      </w:r>
      <w:r w:rsidR="00620434">
        <w:rPr>
          <w:rFonts w:ascii="Times New Roman" w:hAnsi="Times New Roman" w:cs="Times New Roman"/>
          <w:sz w:val="24"/>
          <w:szCs w:val="24"/>
        </w:rPr>
        <w:t>international migration flows (</w:t>
      </w:r>
      <w:r w:rsidR="0066297C">
        <w:rPr>
          <w:rFonts w:ascii="Times New Roman" w:hAnsi="Times New Roman" w:cs="Times New Roman"/>
          <w:sz w:val="24"/>
          <w:szCs w:val="24"/>
        </w:rPr>
        <w:t xml:space="preserve">both </w:t>
      </w:r>
      <w:r w:rsidR="00620434">
        <w:rPr>
          <w:rFonts w:ascii="Times New Roman" w:hAnsi="Times New Roman" w:cs="Times New Roman"/>
          <w:sz w:val="24"/>
          <w:szCs w:val="24"/>
        </w:rPr>
        <w:t>immigration and emigration</w:t>
      </w:r>
      <w:r w:rsidR="0066297C">
        <w:rPr>
          <w:rFonts w:ascii="Times New Roman" w:hAnsi="Times New Roman" w:cs="Times New Roman"/>
          <w:sz w:val="24"/>
          <w:szCs w:val="24"/>
        </w:rPr>
        <w:t>).</w:t>
      </w:r>
      <w:r>
        <w:rPr>
          <w:rFonts w:ascii="Times New Roman" w:hAnsi="Times New Roman" w:cs="Times New Roman"/>
          <w:sz w:val="24"/>
          <w:szCs w:val="24"/>
        </w:rPr>
        <w:t xml:space="preserve"> </w:t>
      </w:r>
      <w:r w:rsidR="0066297C">
        <w:rPr>
          <w:rFonts w:ascii="Times New Roman" w:hAnsi="Times New Roman" w:cs="Times New Roman"/>
          <w:sz w:val="24"/>
          <w:szCs w:val="24"/>
        </w:rPr>
        <w:t xml:space="preserve">The best model, in terms of both in-sample and out-of-sample performance, appears to be a fairly simple error correction model. This model takes a long-run </w:t>
      </w:r>
      <w:r>
        <w:rPr>
          <w:rFonts w:ascii="Times New Roman" w:hAnsi="Times New Roman" w:cs="Times New Roman"/>
          <w:sz w:val="24"/>
          <w:szCs w:val="24"/>
        </w:rPr>
        <w:t xml:space="preserve">average </w:t>
      </w:r>
      <w:r w:rsidR="0066297C">
        <w:rPr>
          <w:rFonts w:ascii="Times New Roman" w:hAnsi="Times New Roman" w:cs="Times New Roman"/>
          <w:sz w:val="24"/>
          <w:szCs w:val="24"/>
        </w:rPr>
        <w:t xml:space="preserve">level of immigration and emigration, and ‘decays’ deviations from that long-run </w:t>
      </w:r>
      <w:r>
        <w:rPr>
          <w:rFonts w:ascii="Times New Roman" w:hAnsi="Times New Roman" w:cs="Times New Roman"/>
          <w:sz w:val="24"/>
          <w:szCs w:val="24"/>
        </w:rPr>
        <w:t>average</w:t>
      </w:r>
      <w:r w:rsidR="0066297C">
        <w:rPr>
          <w:rFonts w:ascii="Times New Roman" w:hAnsi="Times New Roman" w:cs="Times New Roman"/>
          <w:sz w:val="24"/>
          <w:szCs w:val="24"/>
        </w:rPr>
        <w:t xml:space="preserve"> over time, until the flows reach the </w:t>
      </w:r>
      <w:r>
        <w:rPr>
          <w:rFonts w:ascii="Times New Roman" w:hAnsi="Times New Roman" w:cs="Times New Roman"/>
          <w:sz w:val="24"/>
          <w:szCs w:val="24"/>
        </w:rPr>
        <w:t>average</w:t>
      </w:r>
      <w:r w:rsidR="0066297C">
        <w:rPr>
          <w:rFonts w:ascii="Times New Roman" w:hAnsi="Times New Roman" w:cs="Times New Roman"/>
          <w:sz w:val="24"/>
          <w:szCs w:val="24"/>
        </w:rPr>
        <w:t>.</w:t>
      </w:r>
      <w:r>
        <w:rPr>
          <w:rFonts w:ascii="Times New Roman" w:hAnsi="Times New Roman" w:cs="Times New Roman"/>
          <w:sz w:val="24"/>
          <w:szCs w:val="24"/>
        </w:rPr>
        <w:t xml:space="preserve"> In principle the long-run average could be replaced by a time trend, but in this case the time trend would lead to implausibly large projected migration flows, especially later in the projection period.</w:t>
      </w:r>
      <w:r w:rsidR="0066297C">
        <w:rPr>
          <w:rFonts w:ascii="Times New Roman" w:hAnsi="Times New Roman" w:cs="Times New Roman"/>
          <w:sz w:val="24"/>
          <w:szCs w:val="24"/>
        </w:rPr>
        <w:t xml:space="preserve"> The long-run </w:t>
      </w:r>
      <w:r>
        <w:rPr>
          <w:rFonts w:ascii="Times New Roman" w:hAnsi="Times New Roman" w:cs="Times New Roman"/>
          <w:sz w:val="24"/>
          <w:szCs w:val="24"/>
        </w:rPr>
        <w:t>average</w:t>
      </w:r>
      <w:r w:rsidR="0066297C">
        <w:rPr>
          <w:rFonts w:ascii="Times New Roman" w:hAnsi="Times New Roman" w:cs="Times New Roman"/>
          <w:sz w:val="24"/>
          <w:szCs w:val="24"/>
        </w:rPr>
        <w:t xml:space="preserve"> for both immigration and emigration was taken as the average annual level over the period from 1990-2020. The optimal ‘decay rate’ in the error correction model for immigration was </w:t>
      </w:r>
      <w:r w:rsidR="0066297C">
        <w:rPr>
          <w:rFonts w:ascii="Times New Roman" w:hAnsi="Times New Roman" w:cs="Times New Roman"/>
          <w:sz w:val="24"/>
          <w:szCs w:val="24"/>
        </w:rPr>
        <w:lastRenderedPageBreak/>
        <w:t>27 percent (meaning that the difference between the projected annual immigration flow and the long-run trend reduced by 27 percent each year), while the optimal ‘decay rate’</w:t>
      </w:r>
      <w:r w:rsidR="0066297C" w:rsidRPr="0066297C">
        <w:rPr>
          <w:rFonts w:ascii="Times New Roman" w:hAnsi="Times New Roman" w:cs="Times New Roman"/>
          <w:sz w:val="24"/>
          <w:szCs w:val="24"/>
        </w:rPr>
        <w:t xml:space="preserve"> </w:t>
      </w:r>
      <w:r w:rsidR="0066297C">
        <w:rPr>
          <w:rFonts w:ascii="Times New Roman" w:hAnsi="Times New Roman" w:cs="Times New Roman"/>
          <w:sz w:val="24"/>
          <w:szCs w:val="24"/>
        </w:rPr>
        <w:t>in the error correction model for immigration was 31 percent.</w:t>
      </w:r>
    </w:p>
    <w:p w14:paraId="498A5421" w14:textId="77777777" w:rsidR="0066297C" w:rsidRDefault="0066297C" w:rsidP="00906E52">
      <w:pPr>
        <w:spacing w:line="360" w:lineRule="auto"/>
        <w:jc w:val="both"/>
        <w:rPr>
          <w:rFonts w:ascii="Times New Roman" w:hAnsi="Times New Roman" w:cs="Times New Roman"/>
          <w:sz w:val="24"/>
          <w:szCs w:val="24"/>
        </w:rPr>
      </w:pPr>
      <w:r>
        <w:rPr>
          <w:rFonts w:ascii="Times New Roman" w:hAnsi="Times New Roman" w:cs="Times New Roman"/>
          <w:sz w:val="24"/>
          <w:szCs w:val="24"/>
        </w:rPr>
        <w:t>Figure 2 illustrates the</w:t>
      </w:r>
      <w:r w:rsidR="00906E52">
        <w:rPr>
          <w:rFonts w:ascii="Times New Roman" w:hAnsi="Times New Roman" w:cs="Times New Roman"/>
          <w:sz w:val="24"/>
          <w:szCs w:val="24"/>
        </w:rPr>
        <w:t xml:space="preserve"> actual and projected national-level immigration flows. All scenarios are presented (see Sections 2.7 and 2.8 for further details on the different variant scenarios). This figure clearly shows the historically high immigration flows that New Zealand has experienced in recent years, as well as the variability in those flows. The impact of the coronavirus pandemic is evident in the substantial drop in immigration in the June 2021 year, followed by a gradual error correction back to the long-term trend level of immigration, which is 106,947 per year. Figure 3 shows the corresponding data for emigration, with similar features, and a gradual error correction back to the long-term trend level of emigration, which is 83,842 per year. Figure 4 shows the data for net international migration (immigration minus emigration), where the high degree of uncertainty is clearly on display.</w:t>
      </w:r>
    </w:p>
    <w:p w14:paraId="5ACA5093" w14:textId="77777777" w:rsidR="003D6250" w:rsidRDefault="003D6250" w:rsidP="000978B5">
      <w:p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Similar to the gravity model of internal migration, the error correction models provide projections of annual </w:t>
      </w:r>
      <w:r>
        <w:rPr>
          <w:rFonts w:ascii="Times New Roman" w:hAnsi="Times New Roman" w:cs="Times New Roman"/>
          <w:i/>
          <w:iCs/>
          <w:sz w:val="24"/>
          <w:szCs w:val="24"/>
        </w:rPr>
        <w:t>total</w:t>
      </w:r>
      <w:r>
        <w:rPr>
          <w:rFonts w:ascii="Times New Roman" w:hAnsi="Times New Roman" w:cs="Times New Roman"/>
          <w:sz w:val="24"/>
          <w:szCs w:val="24"/>
        </w:rPr>
        <w:t xml:space="preserve"> international migration flows in each direction (emigration and immigration). To convert this total into age-sex-specific international migration flows, we estimated separate of the age-specific immigration and emigration profiles based on address-five-years-ago data for each TA from the 2018 Census.</w:t>
      </w:r>
      <w:r w:rsidRPr="00696377">
        <w:rPr>
          <w:rFonts w:ascii="Times New Roman" w:hAnsi="Times New Roman" w:cs="Times New Roman"/>
          <w:sz w:val="24"/>
          <w:szCs w:val="24"/>
        </w:rPr>
        <w:t xml:space="preserve"> </w:t>
      </w:r>
      <w:r>
        <w:rPr>
          <w:rFonts w:ascii="Times New Roman" w:hAnsi="Times New Roman" w:cs="Times New Roman"/>
          <w:sz w:val="24"/>
          <w:szCs w:val="24"/>
        </w:rPr>
        <w:t xml:space="preserve">The age-specific immigration profile for each TA was based on data for that TA as a destination, as this was expected to more accurately reflect age-specific international migration flows. The age-specific emigration profile for each TA was based on data for that TA as an origin for </w:t>
      </w:r>
      <w:r w:rsidRPr="003D6250">
        <w:rPr>
          <w:rFonts w:ascii="Times New Roman" w:hAnsi="Times New Roman" w:cs="Times New Roman"/>
          <w:i/>
          <w:iCs/>
          <w:sz w:val="24"/>
          <w:szCs w:val="24"/>
        </w:rPr>
        <w:t>internal</w:t>
      </w:r>
      <w:r>
        <w:rPr>
          <w:rFonts w:ascii="Times New Roman" w:hAnsi="Times New Roman" w:cs="Times New Roman"/>
          <w:sz w:val="24"/>
          <w:szCs w:val="24"/>
        </w:rPr>
        <w:t xml:space="preserve"> migration flows, because data on emigration flows are not available.</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r w:rsidRPr="003D6250">
        <w:rPr>
          <w:rFonts w:ascii="Times New Roman" w:hAnsi="Times New Roman" w:cs="Times New Roman"/>
          <w:sz w:val="24"/>
          <w:szCs w:val="24"/>
        </w:rPr>
        <w:t>The</w:t>
      </w:r>
      <w:r>
        <w:rPr>
          <w:rFonts w:ascii="Times New Roman" w:hAnsi="Times New Roman" w:cs="Times New Roman"/>
          <w:sz w:val="24"/>
          <w:szCs w:val="24"/>
        </w:rPr>
        <w:t xml:space="preserve"> process of developing the profiles was identical to that used for internal migration profiles, with each migration profile was standardised to sum to one. Separate migration profiles were not developed by sex, again due to the sparse nature of the data for many </w:t>
      </w:r>
      <w:proofErr w:type="spellStart"/>
      <w:r>
        <w:rPr>
          <w:rFonts w:ascii="Times New Roman" w:hAnsi="Times New Roman" w:cs="Times New Roman"/>
          <w:sz w:val="24"/>
          <w:szCs w:val="24"/>
        </w:rPr>
        <w:t>TAs.</w:t>
      </w:r>
      <w:proofErr w:type="spellEnd"/>
      <w:r>
        <w:rPr>
          <w:rFonts w:ascii="Times New Roman" w:hAnsi="Times New Roman" w:cs="Times New Roman"/>
          <w:sz w:val="24"/>
          <w:szCs w:val="24"/>
        </w:rPr>
        <w:t xml:space="preserve"> Similar to the case for internal migration profiles, for some TAs, the migration profile algorithm could not convert to a plausible profile. In those cases, mostly occurring for TAs with small populations (and hence a small number of internal migrants), the profile for a neighbouring TA was substituted. In the Waikato Region, only one TA was affected, with the emigration profile for Waikato District replaced by the profile for </w:t>
      </w:r>
      <w:proofErr w:type="spellStart"/>
      <w:r>
        <w:rPr>
          <w:rFonts w:ascii="Times New Roman" w:hAnsi="Times New Roman" w:cs="Times New Roman"/>
          <w:sz w:val="24"/>
          <w:szCs w:val="24"/>
        </w:rPr>
        <w:t>Waipa</w:t>
      </w:r>
      <w:proofErr w:type="spellEnd"/>
      <w:r>
        <w:rPr>
          <w:rFonts w:ascii="Times New Roman" w:hAnsi="Times New Roman" w:cs="Times New Roman"/>
          <w:sz w:val="24"/>
          <w:szCs w:val="24"/>
        </w:rPr>
        <w:t xml:space="preserve"> District.</w:t>
      </w:r>
      <w:r>
        <w:rPr>
          <w:rFonts w:ascii="Times New Roman" w:hAnsi="Times New Roman" w:cs="Times New Roman"/>
          <w:i/>
          <w:iCs/>
          <w:sz w:val="24"/>
          <w:szCs w:val="24"/>
        </w:rPr>
        <w:br w:type="page"/>
      </w:r>
    </w:p>
    <w:p w14:paraId="1E820866" w14:textId="77777777" w:rsidR="00906E52" w:rsidRDefault="00906E52" w:rsidP="00906E52">
      <w:pPr>
        <w:spacing w:line="360" w:lineRule="auto"/>
        <w:jc w:val="both"/>
        <w:rPr>
          <w:rFonts w:ascii="Times New Roman" w:hAnsi="Times New Roman" w:cs="Times New Roman"/>
          <w:sz w:val="24"/>
          <w:szCs w:val="24"/>
        </w:rPr>
      </w:pPr>
      <w:r>
        <w:rPr>
          <w:rFonts w:ascii="Times New Roman" w:hAnsi="Times New Roman" w:cs="Times New Roman"/>
          <w:i/>
          <w:iCs/>
          <w:sz w:val="24"/>
          <w:szCs w:val="24"/>
        </w:rPr>
        <w:lastRenderedPageBreak/>
        <w:t>Figure 2: Actual and projection national-level immigration flows, 2002-2068</w:t>
      </w:r>
    </w:p>
    <w:p w14:paraId="7D88E13B" w14:textId="77777777" w:rsidR="00BE1420" w:rsidRDefault="00906E52" w:rsidP="001343CA">
      <w:pPr>
        <w:spacing w:line="360" w:lineRule="auto"/>
        <w:jc w:val="both"/>
        <w:rPr>
          <w:rFonts w:ascii="Times New Roman" w:hAnsi="Times New Roman" w:cs="Times New Roman"/>
          <w:sz w:val="24"/>
          <w:szCs w:val="24"/>
        </w:rPr>
      </w:pPr>
      <w:r w:rsidRPr="00906E52">
        <w:rPr>
          <w:noProof/>
        </w:rPr>
        <w:drawing>
          <wp:inline distT="0" distB="0" distL="0" distR="0" wp14:anchorId="7D10386E" wp14:editId="7251D8E2">
            <wp:extent cx="5731510" cy="3730179"/>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1510" cy="3730179"/>
                    </a:xfrm>
                    <a:prstGeom prst="rect">
                      <a:avLst/>
                    </a:prstGeom>
                    <a:noFill/>
                    <a:ln>
                      <a:noFill/>
                    </a:ln>
                  </pic:spPr>
                </pic:pic>
              </a:graphicData>
            </a:graphic>
          </wp:inline>
        </w:drawing>
      </w:r>
    </w:p>
    <w:p w14:paraId="07358CC6" w14:textId="77777777" w:rsidR="00906E52" w:rsidRDefault="00906E52" w:rsidP="00906E52">
      <w:pPr>
        <w:spacing w:line="360" w:lineRule="auto"/>
        <w:jc w:val="both"/>
        <w:rPr>
          <w:rFonts w:ascii="Times New Roman" w:hAnsi="Times New Roman" w:cs="Times New Roman"/>
          <w:sz w:val="24"/>
          <w:szCs w:val="24"/>
        </w:rPr>
      </w:pPr>
      <w:r>
        <w:rPr>
          <w:rFonts w:ascii="Times New Roman" w:hAnsi="Times New Roman" w:cs="Times New Roman"/>
          <w:i/>
          <w:iCs/>
          <w:sz w:val="24"/>
          <w:szCs w:val="24"/>
        </w:rPr>
        <w:t>Figure 3: Actual and projection national-level emigration flows, 2002-2068</w:t>
      </w:r>
    </w:p>
    <w:p w14:paraId="2C66309E" w14:textId="77777777" w:rsidR="00906E52" w:rsidRDefault="00906E52" w:rsidP="001343CA">
      <w:pPr>
        <w:spacing w:line="360" w:lineRule="auto"/>
        <w:jc w:val="both"/>
        <w:rPr>
          <w:rFonts w:ascii="Times New Roman" w:hAnsi="Times New Roman" w:cs="Times New Roman"/>
          <w:sz w:val="24"/>
          <w:szCs w:val="24"/>
        </w:rPr>
      </w:pPr>
      <w:r w:rsidRPr="00906E52">
        <w:rPr>
          <w:noProof/>
        </w:rPr>
        <w:drawing>
          <wp:inline distT="0" distB="0" distL="0" distR="0" wp14:anchorId="48FA38EF" wp14:editId="4266F2C7">
            <wp:extent cx="5731510" cy="3730179"/>
            <wp:effectExtent l="0" t="0" r="254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1510" cy="3730179"/>
                    </a:xfrm>
                    <a:prstGeom prst="rect">
                      <a:avLst/>
                    </a:prstGeom>
                    <a:noFill/>
                    <a:ln>
                      <a:noFill/>
                    </a:ln>
                  </pic:spPr>
                </pic:pic>
              </a:graphicData>
            </a:graphic>
          </wp:inline>
        </w:drawing>
      </w:r>
    </w:p>
    <w:p w14:paraId="6763E913" w14:textId="77777777" w:rsidR="003D6250" w:rsidRDefault="003D6250" w:rsidP="00906E52">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br w:type="page"/>
      </w:r>
    </w:p>
    <w:p w14:paraId="7EF16945" w14:textId="77777777" w:rsidR="00906E52" w:rsidRDefault="00906E52" w:rsidP="00906E52">
      <w:pPr>
        <w:spacing w:line="360" w:lineRule="auto"/>
        <w:jc w:val="both"/>
        <w:rPr>
          <w:rFonts w:ascii="Times New Roman" w:hAnsi="Times New Roman" w:cs="Times New Roman"/>
          <w:sz w:val="24"/>
          <w:szCs w:val="24"/>
        </w:rPr>
      </w:pPr>
      <w:r>
        <w:rPr>
          <w:rFonts w:ascii="Times New Roman" w:hAnsi="Times New Roman" w:cs="Times New Roman"/>
          <w:i/>
          <w:iCs/>
          <w:sz w:val="24"/>
          <w:szCs w:val="24"/>
        </w:rPr>
        <w:lastRenderedPageBreak/>
        <w:t>Figure 4: Actual and projection national-level net international migration flows, 2002-2068</w:t>
      </w:r>
    </w:p>
    <w:p w14:paraId="0E608770" w14:textId="77777777" w:rsidR="00906E52" w:rsidRDefault="00906E52" w:rsidP="001343CA">
      <w:pPr>
        <w:spacing w:line="360" w:lineRule="auto"/>
        <w:jc w:val="both"/>
        <w:rPr>
          <w:rFonts w:ascii="Times New Roman" w:hAnsi="Times New Roman" w:cs="Times New Roman"/>
          <w:sz w:val="24"/>
          <w:szCs w:val="24"/>
        </w:rPr>
      </w:pPr>
      <w:r w:rsidRPr="00906E52">
        <w:rPr>
          <w:noProof/>
        </w:rPr>
        <w:drawing>
          <wp:inline distT="0" distB="0" distL="0" distR="0" wp14:anchorId="027CA0DA" wp14:editId="02337589">
            <wp:extent cx="5731510" cy="3730179"/>
            <wp:effectExtent l="0" t="0" r="254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1510" cy="3730179"/>
                    </a:xfrm>
                    <a:prstGeom prst="rect">
                      <a:avLst/>
                    </a:prstGeom>
                    <a:noFill/>
                    <a:ln>
                      <a:noFill/>
                    </a:ln>
                  </pic:spPr>
                </pic:pic>
              </a:graphicData>
            </a:graphic>
          </wp:inline>
        </w:drawing>
      </w:r>
    </w:p>
    <w:p w14:paraId="28388178" w14:textId="77777777" w:rsidR="009D5B7A" w:rsidRDefault="009D5B7A" w:rsidP="009D5B7A">
      <w:pPr>
        <w:spacing w:line="360" w:lineRule="auto"/>
        <w:jc w:val="both"/>
        <w:rPr>
          <w:rFonts w:ascii="Times New Roman" w:hAnsi="Times New Roman" w:cs="Times New Roman"/>
          <w:sz w:val="24"/>
          <w:szCs w:val="24"/>
        </w:rPr>
      </w:pPr>
    </w:p>
    <w:p w14:paraId="1ACBB1C3" w14:textId="77777777" w:rsidR="00906E52" w:rsidRPr="006B4F05" w:rsidRDefault="00906E52" w:rsidP="00906E52">
      <w:pPr>
        <w:spacing w:line="360" w:lineRule="auto"/>
        <w:jc w:val="both"/>
        <w:rPr>
          <w:rFonts w:ascii="Times New Roman" w:hAnsi="Times New Roman" w:cs="Times New Roman"/>
          <w:i/>
          <w:sz w:val="24"/>
          <w:szCs w:val="24"/>
        </w:rPr>
      </w:pPr>
      <w:r w:rsidRPr="00906E52">
        <w:rPr>
          <w:rFonts w:ascii="Times New Roman" w:hAnsi="Times New Roman" w:cs="Times New Roman"/>
          <w:i/>
          <w:sz w:val="24"/>
          <w:szCs w:val="24"/>
        </w:rPr>
        <w:t>2.7 The Projected Impact of the Coronavirus Pandemic</w:t>
      </w:r>
    </w:p>
    <w:p w14:paraId="136F3F2A" w14:textId="77777777" w:rsidR="00906E52" w:rsidRDefault="00905186" w:rsidP="007D2A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One challenge to </w:t>
      </w:r>
      <w:r w:rsidR="007D2A9B">
        <w:rPr>
          <w:rFonts w:ascii="Times New Roman" w:hAnsi="Times New Roman" w:cs="Times New Roman"/>
          <w:sz w:val="24"/>
          <w:szCs w:val="24"/>
        </w:rPr>
        <w:t>contemporary</w:t>
      </w:r>
      <w:r>
        <w:rPr>
          <w:rFonts w:ascii="Times New Roman" w:hAnsi="Times New Roman" w:cs="Times New Roman"/>
          <w:sz w:val="24"/>
          <w:szCs w:val="24"/>
        </w:rPr>
        <w:t xml:space="preserve"> population projections</w:t>
      </w:r>
      <w:r w:rsidR="007D2A9B">
        <w:rPr>
          <w:rFonts w:ascii="Times New Roman" w:hAnsi="Times New Roman" w:cs="Times New Roman"/>
          <w:sz w:val="24"/>
          <w:szCs w:val="24"/>
        </w:rPr>
        <w:t xml:space="preserve"> in 2020/21</w:t>
      </w:r>
      <w:r>
        <w:rPr>
          <w:rFonts w:ascii="Times New Roman" w:hAnsi="Times New Roman" w:cs="Times New Roman"/>
          <w:sz w:val="24"/>
          <w:szCs w:val="24"/>
        </w:rPr>
        <w:t xml:space="preserve"> is anticipating and projecting the impact of the ongoing coronavirus pandemic. New Zealand has been fortunate to avoid the worst impacts on mortality that many other countries are experiencing (</w:t>
      </w:r>
      <w:proofErr w:type="spellStart"/>
      <w:r w:rsidR="007D2A9B">
        <w:rPr>
          <w:rFonts w:ascii="Times New Roman" w:hAnsi="Times New Roman" w:cs="Times New Roman"/>
          <w:sz w:val="24"/>
          <w:szCs w:val="24"/>
        </w:rPr>
        <w:t>Balmford</w:t>
      </w:r>
      <w:proofErr w:type="spellEnd"/>
      <w:r w:rsidR="007D2A9B">
        <w:rPr>
          <w:rFonts w:ascii="Times New Roman" w:hAnsi="Times New Roman" w:cs="Times New Roman"/>
          <w:sz w:val="24"/>
          <w:szCs w:val="24"/>
        </w:rPr>
        <w:t xml:space="preserve"> et al., 2020</w:t>
      </w:r>
      <w:r>
        <w:rPr>
          <w:rFonts w:ascii="Times New Roman" w:hAnsi="Times New Roman" w:cs="Times New Roman"/>
          <w:sz w:val="24"/>
          <w:szCs w:val="24"/>
        </w:rPr>
        <w:t>). Thus, we assumed no current or future impact on mortality arising from the pandemic. Similarly, there is little evidence currently to support significant changes in fertility as a result of the pandemic. While it is known that fertility is lower in times of economic recession (</w:t>
      </w:r>
      <w:r w:rsidR="007D2A9B">
        <w:rPr>
          <w:rFonts w:ascii="Times New Roman" w:hAnsi="Times New Roman" w:cs="Times New Roman"/>
          <w:sz w:val="24"/>
          <w:szCs w:val="24"/>
        </w:rPr>
        <w:t>Sobotka et al., 2011</w:t>
      </w:r>
      <w:r>
        <w:rPr>
          <w:rFonts w:ascii="Times New Roman" w:hAnsi="Times New Roman" w:cs="Times New Roman"/>
          <w:sz w:val="24"/>
          <w:szCs w:val="24"/>
        </w:rPr>
        <w:t xml:space="preserve">), the New Zealand economy has bounced back from the pandemic well, and other than </w:t>
      </w:r>
      <w:r w:rsidR="007D2A9B">
        <w:rPr>
          <w:rFonts w:ascii="Times New Roman" w:hAnsi="Times New Roman" w:cs="Times New Roman"/>
          <w:sz w:val="24"/>
          <w:szCs w:val="24"/>
        </w:rPr>
        <w:t xml:space="preserve">some </w:t>
      </w:r>
      <w:r>
        <w:rPr>
          <w:rFonts w:ascii="Times New Roman" w:hAnsi="Times New Roman" w:cs="Times New Roman"/>
          <w:sz w:val="24"/>
          <w:szCs w:val="24"/>
        </w:rPr>
        <w:t>changes in the timing of births, we anticipate no long-run deviation from trend fertility as a result of the pandemic. We also anticipate no change in internal migration flows, which might only be disrupted for short periods as the result of geographically-specific and time-limited lockdowns.</w:t>
      </w:r>
    </w:p>
    <w:p w14:paraId="2DD6E003" w14:textId="77777777" w:rsidR="00A959D3" w:rsidRDefault="00905186" w:rsidP="007D2A9B">
      <w:pPr>
        <w:spacing w:line="360" w:lineRule="auto"/>
        <w:jc w:val="both"/>
        <w:rPr>
          <w:rFonts w:ascii="Times New Roman" w:hAnsi="Times New Roman" w:cs="Times New Roman"/>
          <w:sz w:val="24"/>
          <w:szCs w:val="24"/>
        </w:rPr>
      </w:pPr>
      <w:r w:rsidRPr="00A959D3">
        <w:rPr>
          <w:rFonts w:ascii="Times New Roman" w:hAnsi="Times New Roman" w:cs="Times New Roman"/>
          <w:sz w:val="24"/>
          <w:szCs w:val="24"/>
        </w:rPr>
        <w:t>In contrast, international migration flows have been heavily affected by the pandemic</w:t>
      </w:r>
      <w:r w:rsidR="00A959D3" w:rsidRPr="00A959D3">
        <w:rPr>
          <w:rFonts w:ascii="Times New Roman" w:hAnsi="Times New Roman" w:cs="Times New Roman"/>
          <w:sz w:val="24"/>
          <w:szCs w:val="24"/>
        </w:rPr>
        <w:t>.</w:t>
      </w:r>
      <w:r w:rsidR="00A959D3">
        <w:rPr>
          <w:rFonts w:ascii="Times New Roman" w:hAnsi="Times New Roman" w:cs="Times New Roman"/>
          <w:sz w:val="24"/>
          <w:szCs w:val="24"/>
        </w:rPr>
        <w:t xml:space="preserve"> This is illustrated in Figure 5, which shows monthly immigration and emigration flows over the period from January 2018 to September 2020. After the coronavirus pandemic started, migration flows </w:t>
      </w:r>
      <w:r w:rsidR="00A959D3">
        <w:rPr>
          <w:rFonts w:ascii="Times New Roman" w:hAnsi="Times New Roman" w:cs="Times New Roman"/>
          <w:sz w:val="24"/>
          <w:szCs w:val="24"/>
        </w:rPr>
        <w:lastRenderedPageBreak/>
        <w:t xml:space="preserve">in </w:t>
      </w:r>
      <w:r w:rsidR="00A959D3">
        <w:rPr>
          <w:rFonts w:ascii="Times New Roman" w:hAnsi="Times New Roman" w:cs="Times New Roman"/>
          <w:i/>
          <w:iCs/>
          <w:sz w:val="24"/>
          <w:szCs w:val="24"/>
        </w:rPr>
        <w:t>both</w:t>
      </w:r>
      <w:r w:rsidR="00A959D3">
        <w:rPr>
          <w:rFonts w:ascii="Times New Roman" w:hAnsi="Times New Roman" w:cs="Times New Roman"/>
          <w:sz w:val="24"/>
          <w:szCs w:val="24"/>
        </w:rPr>
        <w:t xml:space="preserve"> directions fell by around 80 percent, and have remained low since. Specifically, immigration flows in April-September 2020 were 82.6 percent lower than the corresponding months in 2019, and emigration flows in the same months were 76.5 percent lower. To account for the impacts of coronavirus on immigration and emigration, these percentage reductions were explicitly built into the projected immigration and emigration flows. The effect of this can be seen in Figures 2 and 3 above, by comparing the medium-variant </w:t>
      </w:r>
      <w:r w:rsidR="00183C8A">
        <w:rPr>
          <w:rFonts w:ascii="Times New Roman" w:hAnsi="Times New Roman" w:cs="Times New Roman"/>
          <w:sz w:val="24"/>
          <w:szCs w:val="24"/>
        </w:rPr>
        <w:t>projection with the medium (No COVID) projection. The medium projection starts low, with both immigration and emigration recovering to the long run trend over time. In contrast, the projection of immigration and emigration excluding the impact of the coronavirus pandemic</w:t>
      </w:r>
      <w:r w:rsidR="00A959D3">
        <w:rPr>
          <w:rFonts w:ascii="Times New Roman" w:hAnsi="Times New Roman" w:cs="Times New Roman"/>
          <w:sz w:val="24"/>
          <w:szCs w:val="24"/>
        </w:rPr>
        <w:t xml:space="preserve"> </w:t>
      </w:r>
      <w:r w:rsidR="00183C8A">
        <w:rPr>
          <w:rFonts w:ascii="Times New Roman" w:hAnsi="Times New Roman" w:cs="Times New Roman"/>
          <w:sz w:val="24"/>
          <w:szCs w:val="24"/>
        </w:rPr>
        <w:t xml:space="preserve">start high and fall gradually over time towards the long run </w:t>
      </w:r>
      <w:r w:rsidR="007D2A9B">
        <w:rPr>
          <w:rFonts w:ascii="Times New Roman" w:hAnsi="Times New Roman" w:cs="Times New Roman"/>
          <w:sz w:val="24"/>
          <w:szCs w:val="24"/>
        </w:rPr>
        <w:t>average</w:t>
      </w:r>
      <w:r w:rsidR="00183C8A">
        <w:rPr>
          <w:rFonts w:ascii="Times New Roman" w:hAnsi="Times New Roman" w:cs="Times New Roman"/>
          <w:sz w:val="24"/>
          <w:szCs w:val="24"/>
        </w:rPr>
        <w:t>.</w:t>
      </w:r>
    </w:p>
    <w:p w14:paraId="275C9DF2" w14:textId="77777777" w:rsidR="00905186" w:rsidRDefault="00905186" w:rsidP="00A959D3">
      <w:pPr>
        <w:spacing w:line="360" w:lineRule="auto"/>
        <w:jc w:val="both"/>
        <w:rPr>
          <w:rFonts w:ascii="Times New Roman" w:hAnsi="Times New Roman" w:cs="Times New Roman"/>
          <w:sz w:val="24"/>
          <w:szCs w:val="24"/>
        </w:rPr>
      </w:pPr>
    </w:p>
    <w:p w14:paraId="27241200" w14:textId="77777777" w:rsidR="00A959D3" w:rsidRDefault="00A959D3" w:rsidP="00A959D3">
      <w:pPr>
        <w:spacing w:line="360" w:lineRule="auto"/>
        <w:jc w:val="both"/>
        <w:rPr>
          <w:rFonts w:ascii="Times New Roman" w:hAnsi="Times New Roman" w:cs="Times New Roman"/>
          <w:sz w:val="24"/>
          <w:szCs w:val="24"/>
        </w:rPr>
      </w:pPr>
      <w:r>
        <w:rPr>
          <w:rFonts w:ascii="Times New Roman" w:hAnsi="Times New Roman" w:cs="Times New Roman"/>
          <w:i/>
          <w:iCs/>
          <w:sz w:val="24"/>
          <w:szCs w:val="24"/>
        </w:rPr>
        <w:t>Figure 5: Monthly international migration flows, 2018-2020</w:t>
      </w:r>
    </w:p>
    <w:p w14:paraId="2DD34F9C" w14:textId="77777777" w:rsidR="00A959D3" w:rsidRDefault="00A959D3" w:rsidP="00A959D3">
      <w:pPr>
        <w:spacing w:line="360" w:lineRule="auto"/>
        <w:jc w:val="both"/>
        <w:rPr>
          <w:rFonts w:ascii="Times New Roman" w:hAnsi="Times New Roman" w:cs="Times New Roman"/>
          <w:sz w:val="24"/>
          <w:szCs w:val="24"/>
        </w:rPr>
      </w:pPr>
      <w:r w:rsidRPr="00A959D3">
        <w:rPr>
          <w:noProof/>
        </w:rPr>
        <w:drawing>
          <wp:inline distT="0" distB="0" distL="0" distR="0" wp14:anchorId="0B30ADF1" wp14:editId="658D9E42">
            <wp:extent cx="5731510" cy="3730179"/>
            <wp:effectExtent l="0" t="0" r="254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31510" cy="3730179"/>
                    </a:xfrm>
                    <a:prstGeom prst="rect">
                      <a:avLst/>
                    </a:prstGeom>
                    <a:noFill/>
                    <a:ln>
                      <a:noFill/>
                    </a:ln>
                  </pic:spPr>
                </pic:pic>
              </a:graphicData>
            </a:graphic>
          </wp:inline>
        </w:drawing>
      </w:r>
    </w:p>
    <w:p w14:paraId="1EA1E3B3" w14:textId="77777777" w:rsidR="00905186" w:rsidRPr="006B4F05" w:rsidRDefault="00905186" w:rsidP="00906E52">
      <w:pPr>
        <w:spacing w:line="360" w:lineRule="auto"/>
        <w:jc w:val="both"/>
        <w:rPr>
          <w:rFonts w:ascii="Times New Roman" w:hAnsi="Times New Roman" w:cs="Times New Roman"/>
          <w:sz w:val="24"/>
          <w:szCs w:val="24"/>
        </w:rPr>
      </w:pPr>
    </w:p>
    <w:p w14:paraId="43A8FD34" w14:textId="77777777" w:rsidR="005A357E" w:rsidRPr="006B4F05" w:rsidRDefault="005A357E" w:rsidP="005A357E">
      <w:pPr>
        <w:spacing w:line="360" w:lineRule="auto"/>
        <w:jc w:val="both"/>
        <w:rPr>
          <w:rFonts w:ascii="Times New Roman" w:hAnsi="Times New Roman" w:cs="Times New Roman"/>
          <w:i/>
          <w:sz w:val="24"/>
          <w:szCs w:val="24"/>
        </w:rPr>
      </w:pPr>
      <w:r w:rsidRPr="009D5B7A">
        <w:rPr>
          <w:rFonts w:ascii="Times New Roman" w:hAnsi="Times New Roman" w:cs="Times New Roman"/>
          <w:i/>
          <w:sz w:val="24"/>
          <w:szCs w:val="24"/>
        </w:rPr>
        <w:t>2.</w:t>
      </w:r>
      <w:r>
        <w:rPr>
          <w:rFonts w:ascii="Times New Roman" w:hAnsi="Times New Roman" w:cs="Times New Roman"/>
          <w:i/>
          <w:sz w:val="24"/>
          <w:szCs w:val="24"/>
        </w:rPr>
        <w:t>8</w:t>
      </w:r>
      <w:r w:rsidRPr="009D5B7A">
        <w:rPr>
          <w:rFonts w:ascii="Times New Roman" w:hAnsi="Times New Roman" w:cs="Times New Roman"/>
          <w:i/>
          <w:sz w:val="24"/>
          <w:szCs w:val="24"/>
        </w:rPr>
        <w:t xml:space="preserve"> </w:t>
      </w:r>
      <w:r>
        <w:rPr>
          <w:rFonts w:ascii="Times New Roman" w:hAnsi="Times New Roman" w:cs="Times New Roman"/>
          <w:i/>
          <w:sz w:val="24"/>
          <w:szCs w:val="24"/>
        </w:rPr>
        <w:t>Validation</w:t>
      </w:r>
      <w:r w:rsidRPr="005A357E">
        <w:rPr>
          <w:rFonts w:ascii="Times New Roman" w:hAnsi="Times New Roman" w:cs="Times New Roman"/>
          <w:i/>
          <w:sz w:val="24"/>
          <w:szCs w:val="24"/>
        </w:rPr>
        <w:t xml:space="preserve"> </w:t>
      </w:r>
      <w:r>
        <w:rPr>
          <w:rFonts w:ascii="Times New Roman" w:hAnsi="Times New Roman" w:cs="Times New Roman"/>
          <w:i/>
          <w:sz w:val="24"/>
          <w:szCs w:val="24"/>
        </w:rPr>
        <w:t>and Calibration of the Population Model</w:t>
      </w:r>
    </w:p>
    <w:p w14:paraId="4506900D" w14:textId="77777777" w:rsidR="005A357E" w:rsidRDefault="005A357E" w:rsidP="005A357E">
      <w:pPr>
        <w:spacing w:line="360" w:lineRule="auto"/>
        <w:jc w:val="both"/>
        <w:rPr>
          <w:rFonts w:ascii="Times New Roman" w:hAnsi="Times New Roman" w:cs="Times New Roman"/>
          <w:sz w:val="24"/>
          <w:szCs w:val="24"/>
        </w:rPr>
      </w:pPr>
      <w:r>
        <w:rPr>
          <w:rFonts w:ascii="Times New Roman" w:hAnsi="Times New Roman" w:cs="Times New Roman"/>
          <w:sz w:val="24"/>
          <w:szCs w:val="24"/>
        </w:rPr>
        <w:t>Once the population model was parameterised, it was validated to ensure</w:t>
      </w:r>
      <w:r w:rsidR="007D2A9B">
        <w:rPr>
          <w:rFonts w:ascii="Times New Roman" w:hAnsi="Times New Roman" w:cs="Times New Roman"/>
          <w:sz w:val="24"/>
          <w:szCs w:val="24"/>
        </w:rPr>
        <w:t xml:space="preserve"> fidelity of the model, i.e.</w:t>
      </w:r>
      <w:r>
        <w:rPr>
          <w:rFonts w:ascii="Times New Roman" w:hAnsi="Times New Roman" w:cs="Times New Roman"/>
          <w:sz w:val="24"/>
          <w:szCs w:val="24"/>
        </w:rPr>
        <w:t xml:space="preserve"> that all components (fertility and births; mortality and survivorship; internal migration; and </w:t>
      </w:r>
      <w:r>
        <w:rPr>
          <w:rFonts w:ascii="Times New Roman" w:hAnsi="Times New Roman" w:cs="Times New Roman"/>
          <w:sz w:val="24"/>
          <w:szCs w:val="24"/>
        </w:rPr>
        <w:lastRenderedPageBreak/>
        <w:t>international migration) were working as intended</w:t>
      </w:r>
      <w:r w:rsidRPr="006B4F05">
        <w:rPr>
          <w:rFonts w:ascii="Times New Roman" w:hAnsi="Times New Roman" w:cs="Times New Roman"/>
          <w:sz w:val="24"/>
          <w:szCs w:val="24"/>
        </w:rPr>
        <w:t>.</w:t>
      </w:r>
      <w:r>
        <w:rPr>
          <w:rFonts w:ascii="Times New Roman" w:hAnsi="Times New Roman" w:cs="Times New Roman"/>
          <w:sz w:val="24"/>
          <w:szCs w:val="24"/>
        </w:rPr>
        <w:t xml:space="preserve"> This process identified no issues with the structure or initial parameterisation of the model.</w:t>
      </w:r>
    </w:p>
    <w:p w14:paraId="27D12C99" w14:textId="77777777" w:rsidR="00D17E7B" w:rsidRDefault="005A357E" w:rsidP="007D2A9B">
      <w:pPr>
        <w:spacing w:line="360" w:lineRule="auto"/>
        <w:jc w:val="both"/>
        <w:rPr>
          <w:rFonts w:ascii="Times New Roman" w:hAnsi="Times New Roman" w:cs="Times New Roman"/>
          <w:sz w:val="24"/>
          <w:szCs w:val="24"/>
        </w:rPr>
      </w:pPr>
      <w:r w:rsidRPr="00D17E7B">
        <w:rPr>
          <w:rFonts w:ascii="Times New Roman" w:hAnsi="Times New Roman" w:cs="Times New Roman"/>
          <w:sz w:val="24"/>
          <w:szCs w:val="24"/>
        </w:rPr>
        <w:t>Calibration</w:t>
      </w:r>
      <w:r w:rsidR="00D17E7B" w:rsidRPr="00D17E7B">
        <w:rPr>
          <w:rFonts w:ascii="Times New Roman" w:hAnsi="Times New Roman" w:cs="Times New Roman"/>
          <w:sz w:val="24"/>
          <w:szCs w:val="24"/>
        </w:rPr>
        <w:t xml:space="preserve"> of the model involved several stages. First, the </w:t>
      </w:r>
      <w:r w:rsidR="00D17E7B">
        <w:rPr>
          <w:rFonts w:ascii="Times New Roman" w:hAnsi="Times New Roman" w:cs="Times New Roman"/>
          <w:sz w:val="24"/>
          <w:szCs w:val="24"/>
        </w:rPr>
        <w:t xml:space="preserve">projected </w:t>
      </w:r>
      <w:r w:rsidR="00D17E7B" w:rsidRPr="00D17E7B">
        <w:rPr>
          <w:rFonts w:ascii="Times New Roman" w:hAnsi="Times New Roman" w:cs="Times New Roman"/>
          <w:sz w:val="24"/>
          <w:szCs w:val="24"/>
        </w:rPr>
        <w:t>number of births, by TA and in total</w:t>
      </w:r>
      <w:r w:rsidR="00D17E7B">
        <w:rPr>
          <w:rFonts w:ascii="Times New Roman" w:hAnsi="Times New Roman" w:cs="Times New Roman"/>
          <w:sz w:val="24"/>
          <w:szCs w:val="24"/>
        </w:rPr>
        <w:t xml:space="preserve"> for New Zealand as a whole, were compared with the actual number of births over the period from 2017 to 2020. As noted above, this resulted in a necessary downward adjustment to the projected total fertility rates for each TA.</w:t>
      </w:r>
      <w:r w:rsidR="007D2A9B">
        <w:rPr>
          <w:rFonts w:ascii="Times New Roman" w:hAnsi="Times New Roman" w:cs="Times New Roman"/>
          <w:sz w:val="24"/>
          <w:szCs w:val="24"/>
        </w:rPr>
        <w:t xml:space="preserve"> </w:t>
      </w:r>
      <w:r w:rsidR="00D17E7B">
        <w:rPr>
          <w:rFonts w:ascii="Times New Roman" w:hAnsi="Times New Roman" w:cs="Times New Roman"/>
          <w:sz w:val="24"/>
          <w:szCs w:val="24"/>
        </w:rPr>
        <w:t xml:space="preserve">Second, the total population of New Zealand was calibrated by comparing the growth rate with </w:t>
      </w:r>
      <w:r w:rsidR="007D2A9B">
        <w:rPr>
          <w:rFonts w:ascii="Times New Roman" w:hAnsi="Times New Roman" w:cs="Times New Roman"/>
          <w:sz w:val="24"/>
          <w:szCs w:val="24"/>
        </w:rPr>
        <w:t>recent</w:t>
      </w:r>
      <w:r w:rsidR="00D17E7B">
        <w:rPr>
          <w:rFonts w:ascii="Times New Roman" w:hAnsi="Times New Roman" w:cs="Times New Roman"/>
          <w:sz w:val="24"/>
          <w:szCs w:val="24"/>
        </w:rPr>
        <w:t xml:space="preserve"> national population projections. This resulted in no adjustment to the model parameters, as it confirmed a </w:t>
      </w:r>
      <w:r w:rsidR="007D2A9B">
        <w:rPr>
          <w:rFonts w:ascii="Times New Roman" w:hAnsi="Times New Roman" w:cs="Times New Roman"/>
          <w:sz w:val="24"/>
          <w:szCs w:val="24"/>
        </w:rPr>
        <w:t>plausible</w:t>
      </w:r>
      <w:r w:rsidR="00D17E7B">
        <w:rPr>
          <w:rFonts w:ascii="Times New Roman" w:hAnsi="Times New Roman" w:cs="Times New Roman"/>
          <w:sz w:val="24"/>
          <w:szCs w:val="24"/>
        </w:rPr>
        <w:t xml:space="preserve"> path for future national population (in total, and by age and gender)</w:t>
      </w:r>
      <w:r w:rsidR="007D2A9B">
        <w:rPr>
          <w:rFonts w:ascii="Times New Roman" w:hAnsi="Times New Roman" w:cs="Times New Roman"/>
          <w:sz w:val="24"/>
          <w:szCs w:val="24"/>
        </w:rPr>
        <w:t xml:space="preserve"> (see also Section 3)</w:t>
      </w:r>
      <w:r w:rsidR="00D17E7B">
        <w:rPr>
          <w:rFonts w:ascii="Times New Roman" w:hAnsi="Times New Roman" w:cs="Times New Roman"/>
          <w:sz w:val="24"/>
          <w:szCs w:val="24"/>
        </w:rPr>
        <w:t>. Third, the TA-level net international migration flows were calibrated by comparison with past inter-</w:t>
      </w:r>
      <w:proofErr w:type="spellStart"/>
      <w:r w:rsidR="00D17E7B">
        <w:rPr>
          <w:rFonts w:ascii="Times New Roman" w:hAnsi="Times New Roman" w:cs="Times New Roman"/>
          <w:sz w:val="24"/>
          <w:szCs w:val="24"/>
        </w:rPr>
        <w:t>Censal</w:t>
      </w:r>
      <w:proofErr w:type="spellEnd"/>
      <w:r w:rsidR="00D17E7B">
        <w:rPr>
          <w:rFonts w:ascii="Times New Roman" w:hAnsi="Times New Roman" w:cs="Times New Roman"/>
          <w:sz w:val="24"/>
          <w:szCs w:val="24"/>
        </w:rPr>
        <w:t xml:space="preserve"> </w:t>
      </w:r>
      <w:r w:rsidR="007D2A9B">
        <w:rPr>
          <w:rFonts w:ascii="Times New Roman" w:hAnsi="Times New Roman" w:cs="Times New Roman"/>
          <w:sz w:val="24"/>
          <w:szCs w:val="24"/>
        </w:rPr>
        <w:t xml:space="preserve">international </w:t>
      </w:r>
      <w:r w:rsidR="00D17E7B">
        <w:rPr>
          <w:rFonts w:ascii="Times New Roman" w:hAnsi="Times New Roman" w:cs="Times New Roman"/>
          <w:sz w:val="24"/>
          <w:szCs w:val="24"/>
        </w:rPr>
        <w:t>migration flows. This also result</w:t>
      </w:r>
      <w:r w:rsidR="007D2A9B">
        <w:rPr>
          <w:rFonts w:ascii="Times New Roman" w:hAnsi="Times New Roman" w:cs="Times New Roman"/>
          <w:sz w:val="24"/>
          <w:szCs w:val="24"/>
        </w:rPr>
        <w:t>ed</w:t>
      </w:r>
      <w:r w:rsidR="00D17E7B">
        <w:rPr>
          <w:rFonts w:ascii="Times New Roman" w:hAnsi="Times New Roman" w:cs="Times New Roman"/>
          <w:sz w:val="24"/>
          <w:szCs w:val="24"/>
        </w:rPr>
        <w:t xml:space="preserve"> in no adjustment to the model parameters.</w:t>
      </w:r>
      <w:r w:rsidR="007D2A9B">
        <w:rPr>
          <w:rFonts w:ascii="Times New Roman" w:hAnsi="Times New Roman" w:cs="Times New Roman"/>
          <w:sz w:val="24"/>
          <w:szCs w:val="24"/>
        </w:rPr>
        <w:t xml:space="preserve"> </w:t>
      </w:r>
      <w:r w:rsidR="00D17E7B">
        <w:rPr>
          <w:rFonts w:ascii="Times New Roman" w:hAnsi="Times New Roman" w:cs="Times New Roman"/>
          <w:sz w:val="24"/>
          <w:szCs w:val="24"/>
        </w:rPr>
        <w:t xml:space="preserve">Fourth, the total populations and growth rates for each TA were calibrated by adjusting the gravity model fixed effects, in order to more accurately reflect the relative growth rates from past subnational population projections. As no prior University of Waikato projections were available for TAs outside of the Waikato and Bay of Plenty regions, the medium-variant 2013-base SNZ projections were used as the </w:t>
      </w:r>
      <w:r w:rsidR="007D2A9B">
        <w:rPr>
          <w:rFonts w:ascii="Times New Roman" w:hAnsi="Times New Roman" w:cs="Times New Roman"/>
          <w:sz w:val="24"/>
          <w:szCs w:val="24"/>
        </w:rPr>
        <w:t xml:space="preserve">baseline for these comparisons. </w:t>
      </w:r>
      <w:r w:rsidR="00D17E7B">
        <w:rPr>
          <w:rFonts w:ascii="Times New Roman" w:hAnsi="Times New Roman" w:cs="Times New Roman"/>
          <w:sz w:val="24"/>
          <w:szCs w:val="24"/>
        </w:rPr>
        <w:t xml:space="preserve">Finally, the TA-level age structures were calibrated through minor adjustments to the migration age profiles. This ensured that the model </w:t>
      </w:r>
      <w:r w:rsidR="007D2A9B">
        <w:rPr>
          <w:rFonts w:ascii="Times New Roman" w:hAnsi="Times New Roman" w:cs="Times New Roman"/>
          <w:sz w:val="24"/>
          <w:szCs w:val="24"/>
        </w:rPr>
        <w:t>did</w:t>
      </w:r>
      <w:r w:rsidR="00D17E7B">
        <w:rPr>
          <w:rFonts w:ascii="Times New Roman" w:hAnsi="Times New Roman" w:cs="Times New Roman"/>
          <w:sz w:val="24"/>
          <w:szCs w:val="24"/>
        </w:rPr>
        <w:t xml:space="preserve"> not over- or under-project </w:t>
      </w:r>
      <w:r w:rsidR="007D2A9B">
        <w:rPr>
          <w:rFonts w:ascii="Times New Roman" w:hAnsi="Times New Roman" w:cs="Times New Roman"/>
          <w:sz w:val="24"/>
          <w:szCs w:val="24"/>
        </w:rPr>
        <w:t xml:space="preserve">TA-level </w:t>
      </w:r>
      <w:r w:rsidR="00D17E7B">
        <w:rPr>
          <w:rFonts w:ascii="Times New Roman" w:hAnsi="Times New Roman" w:cs="Times New Roman"/>
          <w:sz w:val="24"/>
          <w:szCs w:val="24"/>
        </w:rPr>
        <w:t>migration flows in</w:t>
      </w:r>
      <w:r w:rsidR="007D2A9B">
        <w:rPr>
          <w:rFonts w:ascii="Times New Roman" w:hAnsi="Times New Roman" w:cs="Times New Roman"/>
          <w:sz w:val="24"/>
          <w:szCs w:val="24"/>
        </w:rPr>
        <w:t>to or out of</w:t>
      </w:r>
      <w:r w:rsidR="00D17E7B">
        <w:rPr>
          <w:rFonts w:ascii="Times New Roman" w:hAnsi="Times New Roman" w:cs="Times New Roman"/>
          <w:sz w:val="24"/>
          <w:szCs w:val="24"/>
        </w:rPr>
        <w:t xml:space="preserve"> certain age groups</w:t>
      </w:r>
      <w:r w:rsidR="007D2A9B">
        <w:rPr>
          <w:rFonts w:ascii="Times New Roman" w:hAnsi="Times New Roman" w:cs="Times New Roman"/>
          <w:sz w:val="24"/>
          <w:szCs w:val="24"/>
        </w:rPr>
        <w:t>, unbalancing the resulting age distribution</w:t>
      </w:r>
      <w:r w:rsidR="00D17E7B">
        <w:rPr>
          <w:rFonts w:ascii="Times New Roman" w:hAnsi="Times New Roman" w:cs="Times New Roman"/>
          <w:sz w:val="24"/>
          <w:szCs w:val="24"/>
        </w:rPr>
        <w:t>.</w:t>
      </w:r>
    </w:p>
    <w:p w14:paraId="1EA8B650" w14:textId="77777777" w:rsidR="005A357E" w:rsidRPr="006B4F05" w:rsidRDefault="005A357E" w:rsidP="005A357E">
      <w:pPr>
        <w:spacing w:line="360" w:lineRule="auto"/>
        <w:jc w:val="both"/>
        <w:rPr>
          <w:rFonts w:ascii="Times New Roman" w:hAnsi="Times New Roman" w:cs="Times New Roman"/>
          <w:sz w:val="24"/>
          <w:szCs w:val="24"/>
        </w:rPr>
      </w:pPr>
    </w:p>
    <w:p w14:paraId="4966CE8A" w14:textId="77777777" w:rsidR="00906E52" w:rsidRPr="006B4F05" w:rsidRDefault="00906E52" w:rsidP="005A357E">
      <w:pPr>
        <w:spacing w:line="360" w:lineRule="auto"/>
        <w:jc w:val="both"/>
        <w:rPr>
          <w:rFonts w:ascii="Times New Roman" w:hAnsi="Times New Roman" w:cs="Times New Roman"/>
          <w:i/>
          <w:sz w:val="24"/>
          <w:szCs w:val="24"/>
        </w:rPr>
      </w:pPr>
      <w:r w:rsidRPr="009D5B7A">
        <w:rPr>
          <w:rFonts w:ascii="Times New Roman" w:hAnsi="Times New Roman" w:cs="Times New Roman"/>
          <w:i/>
          <w:sz w:val="24"/>
          <w:szCs w:val="24"/>
        </w:rPr>
        <w:t>2.</w:t>
      </w:r>
      <w:r w:rsidR="005A357E">
        <w:rPr>
          <w:rFonts w:ascii="Times New Roman" w:hAnsi="Times New Roman" w:cs="Times New Roman"/>
          <w:i/>
          <w:sz w:val="24"/>
          <w:szCs w:val="24"/>
        </w:rPr>
        <w:t>9</w:t>
      </w:r>
      <w:r w:rsidRPr="009D5B7A">
        <w:rPr>
          <w:rFonts w:ascii="Times New Roman" w:hAnsi="Times New Roman" w:cs="Times New Roman"/>
          <w:i/>
          <w:sz w:val="24"/>
          <w:szCs w:val="24"/>
        </w:rPr>
        <w:t xml:space="preserve"> Low-variant and High-variant Population Projection Assumptions</w:t>
      </w:r>
    </w:p>
    <w:p w14:paraId="080E55CF" w14:textId="77777777" w:rsidR="006E6268" w:rsidRPr="006B4F05" w:rsidRDefault="00D17E7B" w:rsidP="00D17E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Following calibration of the medium-variant population projection model (see Section 2.8), other projection scenarios were run. </w:t>
      </w:r>
      <w:r w:rsidR="00906E52" w:rsidRPr="006B4F05">
        <w:rPr>
          <w:rFonts w:ascii="Times New Roman" w:hAnsi="Times New Roman" w:cs="Times New Roman"/>
          <w:sz w:val="24"/>
          <w:szCs w:val="24"/>
        </w:rPr>
        <w:t>In addition to the baseline (medium</w:t>
      </w:r>
      <w:r w:rsidR="00906E52">
        <w:rPr>
          <w:rFonts w:ascii="Times New Roman" w:hAnsi="Times New Roman" w:cs="Times New Roman"/>
          <w:sz w:val="24"/>
          <w:szCs w:val="24"/>
        </w:rPr>
        <w:t>-variant</w:t>
      </w:r>
      <w:r w:rsidR="00906E52" w:rsidRPr="006B4F05">
        <w:rPr>
          <w:rFonts w:ascii="Times New Roman" w:hAnsi="Times New Roman" w:cs="Times New Roman"/>
          <w:sz w:val="24"/>
          <w:szCs w:val="24"/>
        </w:rPr>
        <w:t>) projections outlined above, we present</w:t>
      </w:r>
      <w:r w:rsidR="00906E52">
        <w:rPr>
          <w:rFonts w:ascii="Times New Roman" w:hAnsi="Times New Roman" w:cs="Times New Roman"/>
          <w:sz w:val="24"/>
          <w:szCs w:val="24"/>
        </w:rPr>
        <w:t xml:space="preserve"> low-variant and</w:t>
      </w:r>
      <w:r w:rsidR="00906E52" w:rsidRPr="006B4F05">
        <w:rPr>
          <w:rFonts w:ascii="Times New Roman" w:hAnsi="Times New Roman" w:cs="Times New Roman"/>
          <w:sz w:val="24"/>
          <w:szCs w:val="24"/>
        </w:rPr>
        <w:t xml:space="preserve"> high</w:t>
      </w:r>
      <w:r w:rsidR="00906E52">
        <w:rPr>
          <w:rFonts w:ascii="Times New Roman" w:hAnsi="Times New Roman" w:cs="Times New Roman"/>
          <w:sz w:val="24"/>
          <w:szCs w:val="24"/>
        </w:rPr>
        <w:t>-variant</w:t>
      </w:r>
      <w:r>
        <w:rPr>
          <w:rFonts w:ascii="Times New Roman" w:hAnsi="Times New Roman" w:cs="Times New Roman"/>
          <w:sz w:val="24"/>
          <w:szCs w:val="24"/>
        </w:rPr>
        <w:t xml:space="preserve"> (as well as the medium-variant without COVID)</w:t>
      </w:r>
      <w:r w:rsidR="00906E52" w:rsidRPr="006B4F05">
        <w:rPr>
          <w:rFonts w:ascii="Times New Roman" w:hAnsi="Times New Roman" w:cs="Times New Roman"/>
          <w:sz w:val="24"/>
          <w:szCs w:val="24"/>
        </w:rPr>
        <w:t xml:space="preserve"> population projections which are based on </w:t>
      </w:r>
      <w:r w:rsidR="00906E52">
        <w:rPr>
          <w:rFonts w:ascii="Times New Roman" w:hAnsi="Times New Roman" w:cs="Times New Roman"/>
          <w:sz w:val="24"/>
          <w:szCs w:val="24"/>
        </w:rPr>
        <w:t xml:space="preserve">an </w:t>
      </w:r>
      <w:r w:rsidR="00906E52" w:rsidRPr="006B4F05">
        <w:rPr>
          <w:rFonts w:ascii="Times New Roman" w:hAnsi="Times New Roman" w:cs="Times New Roman"/>
          <w:sz w:val="24"/>
          <w:szCs w:val="24"/>
        </w:rPr>
        <w:t>alternative set of assumptions.</w:t>
      </w:r>
      <w:r w:rsidR="006E6268">
        <w:rPr>
          <w:rFonts w:ascii="Times New Roman" w:hAnsi="Times New Roman" w:cs="Times New Roman"/>
          <w:sz w:val="24"/>
          <w:szCs w:val="24"/>
        </w:rPr>
        <w:t xml:space="preserve"> </w:t>
      </w:r>
      <w:r w:rsidR="006E6268" w:rsidRPr="006B4F05">
        <w:rPr>
          <w:rFonts w:ascii="Times New Roman" w:hAnsi="Times New Roman" w:cs="Times New Roman"/>
          <w:sz w:val="24"/>
          <w:szCs w:val="24"/>
        </w:rPr>
        <w:t>These represent plausible alternative scenarios to the baseline (medium</w:t>
      </w:r>
      <w:r w:rsidR="006E6268">
        <w:rPr>
          <w:rFonts w:ascii="Times New Roman" w:hAnsi="Times New Roman" w:cs="Times New Roman"/>
          <w:sz w:val="24"/>
          <w:szCs w:val="24"/>
        </w:rPr>
        <w:t>-variant</w:t>
      </w:r>
      <w:r w:rsidR="006E6268" w:rsidRPr="006B4F05">
        <w:rPr>
          <w:rFonts w:ascii="Times New Roman" w:hAnsi="Times New Roman" w:cs="Times New Roman"/>
          <w:sz w:val="24"/>
          <w:szCs w:val="24"/>
        </w:rPr>
        <w:t>) population projection scenario</w:t>
      </w:r>
      <w:r w:rsidR="006E6268">
        <w:rPr>
          <w:rFonts w:ascii="Times New Roman" w:hAnsi="Times New Roman" w:cs="Times New Roman"/>
          <w:sz w:val="24"/>
          <w:szCs w:val="24"/>
        </w:rPr>
        <w:t xml:space="preserve"> (see Section </w:t>
      </w:r>
      <w:r>
        <w:rPr>
          <w:rFonts w:ascii="Times New Roman" w:hAnsi="Times New Roman" w:cs="Times New Roman"/>
          <w:sz w:val="24"/>
          <w:szCs w:val="24"/>
        </w:rPr>
        <w:t>below</w:t>
      </w:r>
      <w:r w:rsidR="006E6268">
        <w:rPr>
          <w:rFonts w:ascii="Times New Roman" w:hAnsi="Times New Roman" w:cs="Times New Roman"/>
          <w:sz w:val="24"/>
          <w:szCs w:val="24"/>
        </w:rPr>
        <w:t xml:space="preserve"> on interpretation of the results)</w:t>
      </w:r>
      <w:r w:rsidR="006E6268" w:rsidRPr="006B4F05">
        <w:rPr>
          <w:rFonts w:ascii="Times New Roman" w:hAnsi="Times New Roman" w:cs="Times New Roman"/>
          <w:sz w:val="24"/>
          <w:szCs w:val="24"/>
        </w:rPr>
        <w:t>.</w:t>
      </w:r>
    </w:p>
    <w:p w14:paraId="28FE993A" w14:textId="77777777" w:rsidR="00906E52" w:rsidRPr="006B4F05" w:rsidRDefault="009D5B7A" w:rsidP="00FB35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fertility and mortality, </w:t>
      </w:r>
      <w:r w:rsidR="00906E52" w:rsidRPr="006B4F05">
        <w:rPr>
          <w:rFonts w:ascii="Times New Roman" w:hAnsi="Times New Roman" w:cs="Times New Roman"/>
          <w:sz w:val="24"/>
          <w:szCs w:val="24"/>
        </w:rPr>
        <w:t xml:space="preserve">each age- and gender-specific rate (fertility, </w:t>
      </w:r>
      <w:r>
        <w:rPr>
          <w:rFonts w:ascii="Times New Roman" w:hAnsi="Times New Roman" w:cs="Times New Roman"/>
          <w:sz w:val="24"/>
          <w:szCs w:val="24"/>
        </w:rPr>
        <w:t>and mortality/survivorship</w:t>
      </w:r>
      <w:r w:rsidR="00906E52" w:rsidRPr="006B4F05">
        <w:rPr>
          <w:rFonts w:ascii="Times New Roman" w:hAnsi="Times New Roman" w:cs="Times New Roman"/>
          <w:sz w:val="24"/>
          <w:szCs w:val="24"/>
        </w:rPr>
        <w:t>) was multiplied by a shift factor</w:t>
      </w:r>
      <w:r>
        <w:rPr>
          <w:rFonts w:ascii="Times New Roman" w:hAnsi="Times New Roman" w:cs="Times New Roman"/>
          <w:sz w:val="24"/>
          <w:szCs w:val="24"/>
        </w:rPr>
        <w:t>,</w:t>
      </w:r>
      <w:r w:rsidRPr="009D5B7A">
        <w:rPr>
          <w:rFonts w:ascii="Times New Roman" w:hAnsi="Times New Roman" w:cs="Times New Roman"/>
          <w:sz w:val="24"/>
          <w:szCs w:val="24"/>
        </w:rPr>
        <w:t xml:space="preserve"> </w:t>
      </w:r>
      <w:r>
        <w:rPr>
          <w:rFonts w:ascii="Times New Roman" w:hAnsi="Times New Roman" w:cs="Times New Roman"/>
          <w:sz w:val="24"/>
          <w:szCs w:val="24"/>
        </w:rPr>
        <w:t>f</w:t>
      </w:r>
      <w:r w:rsidRPr="006B4F05">
        <w:rPr>
          <w:rFonts w:ascii="Times New Roman" w:hAnsi="Times New Roman" w:cs="Times New Roman"/>
          <w:sz w:val="24"/>
          <w:szCs w:val="24"/>
        </w:rPr>
        <w:t>ollowin</w:t>
      </w:r>
      <w:r>
        <w:rPr>
          <w:rFonts w:ascii="Times New Roman" w:hAnsi="Times New Roman" w:cs="Times New Roman"/>
          <w:sz w:val="24"/>
          <w:szCs w:val="24"/>
        </w:rPr>
        <w:t>g Cameron and Poot (2010; 2011)</w:t>
      </w:r>
      <w:r w:rsidR="00906E52" w:rsidRPr="006B4F05">
        <w:rPr>
          <w:rFonts w:ascii="Times New Roman" w:hAnsi="Times New Roman" w:cs="Times New Roman"/>
          <w:sz w:val="24"/>
          <w:szCs w:val="24"/>
        </w:rPr>
        <w:t xml:space="preserve">. The percentage change in each of the rates is given by </w:t>
      </w:r>
      <w:r w:rsidR="00906E52" w:rsidRPr="006B4F05">
        <w:rPr>
          <w:rFonts w:ascii="Times New Roman" w:hAnsi="Times New Roman" w:cs="Times New Roman"/>
          <w:i/>
          <w:sz w:val="24"/>
          <w:szCs w:val="24"/>
        </w:rPr>
        <w:t>k</w:t>
      </w:r>
      <w:r w:rsidR="00906E52" w:rsidRPr="006B4F05">
        <w:rPr>
          <w:rFonts w:ascii="Times New Roman" w:hAnsi="Times New Roman" w:cs="Times New Roman"/>
          <w:sz w:val="24"/>
          <w:szCs w:val="24"/>
        </w:rPr>
        <w:t xml:space="preserve">, whereby </w:t>
      </w:r>
      <w:r w:rsidR="00906E52" w:rsidRPr="006B4F05">
        <w:rPr>
          <w:rFonts w:ascii="Times New Roman" w:hAnsi="Times New Roman" w:cs="Times New Roman"/>
          <w:i/>
          <w:sz w:val="24"/>
          <w:szCs w:val="24"/>
        </w:rPr>
        <w:t>k</w:t>
      </w:r>
      <w:r w:rsidR="00906E52" w:rsidRPr="006B4F05">
        <w:rPr>
          <w:rFonts w:ascii="Times New Roman" w:hAnsi="Times New Roman" w:cs="Times New Roman"/>
          <w:sz w:val="24"/>
          <w:szCs w:val="24"/>
        </w:rPr>
        <w:t xml:space="preserve"> is based </w:t>
      </w:r>
      <w:r>
        <w:rPr>
          <w:rFonts w:ascii="Times New Roman" w:hAnsi="Times New Roman" w:cs="Times New Roman"/>
          <w:sz w:val="24"/>
          <w:szCs w:val="24"/>
        </w:rPr>
        <w:t>on a distribution for fertility and</w:t>
      </w:r>
      <w:r w:rsidR="00906E52" w:rsidRPr="006B4F05">
        <w:rPr>
          <w:rFonts w:ascii="Times New Roman" w:hAnsi="Times New Roman" w:cs="Times New Roman"/>
          <w:sz w:val="24"/>
          <w:szCs w:val="24"/>
        </w:rPr>
        <w:t xml:space="preserve"> mortality/survivorship. The entire deterministic path of fertility</w:t>
      </w:r>
      <w:r>
        <w:rPr>
          <w:rFonts w:ascii="Times New Roman" w:hAnsi="Times New Roman" w:cs="Times New Roman"/>
          <w:sz w:val="24"/>
          <w:szCs w:val="24"/>
        </w:rPr>
        <w:t xml:space="preserve"> </w:t>
      </w:r>
      <w:r>
        <w:rPr>
          <w:rFonts w:ascii="Times New Roman" w:hAnsi="Times New Roman" w:cs="Times New Roman"/>
          <w:sz w:val="24"/>
          <w:szCs w:val="24"/>
        </w:rPr>
        <w:lastRenderedPageBreak/>
        <w:t>and</w:t>
      </w:r>
      <w:r w:rsidR="00906E52" w:rsidRPr="006B4F05">
        <w:rPr>
          <w:rFonts w:ascii="Times New Roman" w:hAnsi="Times New Roman" w:cs="Times New Roman"/>
          <w:sz w:val="24"/>
          <w:szCs w:val="24"/>
        </w:rPr>
        <w:t xml:space="preserve"> mortality rates over the 20</w:t>
      </w:r>
      <w:r w:rsidR="00906E52">
        <w:rPr>
          <w:rFonts w:ascii="Times New Roman" w:hAnsi="Times New Roman" w:cs="Times New Roman"/>
          <w:sz w:val="24"/>
          <w:szCs w:val="24"/>
        </w:rPr>
        <w:t>1</w:t>
      </w:r>
      <w:r w:rsidR="00FB35C4">
        <w:rPr>
          <w:rFonts w:ascii="Times New Roman" w:hAnsi="Times New Roman" w:cs="Times New Roman"/>
          <w:sz w:val="24"/>
          <w:szCs w:val="24"/>
        </w:rPr>
        <w:t>8</w:t>
      </w:r>
      <w:r w:rsidR="00906E52" w:rsidRPr="006B4F05">
        <w:rPr>
          <w:rFonts w:ascii="Times New Roman" w:hAnsi="Times New Roman" w:cs="Times New Roman"/>
          <w:sz w:val="24"/>
          <w:szCs w:val="24"/>
        </w:rPr>
        <w:t>-206</w:t>
      </w:r>
      <w:r w:rsidR="00FB35C4">
        <w:rPr>
          <w:rFonts w:ascii="Times New Roman" w:hAnsi="Times New Roman" w:cs="Times New Roman"/>
          <w:sz w:val="24"/>
          <w:szCs w:val="24"/>
        </w:rPr>
        <w:t>8</w:t>
      </w:r>
      <w:r w:rsidR="00906E52" w:rsidRPr="006B4F05">
        <w:rPr>
          <w:rFonts w:ascii="Times New Roman" w:hAnsi="Times New Roman" w:cs="Times New Roman"/>
          <w:sz w:val="24"/>
          <w:szCs w:val="24"/>
        </w:rPr>
        <w:t xml:space="preserve"> projection period was shifted by the corresponding factors. In this way, </w:t>
      </w:r>
      <w:r w:rsidR="00906E52">
        <w:rPr>
          <w:rFonts w:ascii="Times New Roman" w:hAnsi="Times New Roman" w:cs="Times New Roman"/>
          <w:sz w:val="24"/>
          <w:szCs w:val="24"/>
        </w:rPr>
        <w:t>setting</w:t>
      </w:r>
      <w:r w:rsidR="00906E52" w:rsidRPr="006B4F05">
        <w:rPr>
          <w:rFonts w:ascii="Times New Roman" w:hAnsi="Times New Roman" w:cs="Times New Roman"/>
          <w:sz w:val="24"/>
          <w:szCs w:val="24"/>
        </w:rPr>
        <w:t xml:space="preserve"> all multipliers to zero would result in the baseline projection</w:t>
      </w:r>
      <w:r w:rsidR="00906E52">
        <w:rPr>
          <w:rFonts w:ascii="Times New Roman" w:hAnsi="Times New Roman" w:cs="Times New Roman"/>
          <w:sz w:val="24"/>
          <w:szCs w:val="24"/>
        </w:rPr>
        <w:t>,</w:t>
      </w:r>
      <w:r w:rsidR="00906E52" w:rsidRPr="006B4F05">
        <w:rPr>
          <w:rFonts w:ascii="Times New Roman" w:hAnsi="Times New Roman" w:cs="Times New Roman"/>
          <w:sz w:val="24"/>
          <w:szCs w:val="24"/>
        </w:rPr>
        <w:t xml:space="preserve"> and the multiplier </w:t>
      </w:r>
      <w:r>
        <w:rPr>
          <w:rFonts w:ascii="Times New Roman" w:hAnsi="Times New Roman" w:cs="Times New Roman"/>
          <w:sz w:val="24"/>
          <w:szCs w:val="24"/>
        </w:rPr>
        <w:t>was</w:t>
      </w:r>
      <w:r w:rsidR="00906E52" w:rsidRPr="006B4F05">
        <w:rPr>
          <w:rFonts w:ascii="Times New Roman" w:hAnsi="Times New Roman" w:cs="Times New Roman"/>
          <w:sz w:val="24"/>
          <w:szCs w:val="24"/>
        </w:rPr>
        <w:t xml:space="preserve"> varied around zero to increase or decrease each rate.</w:t>
      </w:r>
    </w:p>
    <w:p w14:paraId="4A49144C" w14:textId="77777777" w:rsidR="00906E52" w:rsidRDefault="00906E52" w:rsidP="009D5B7A">
      <w:pPr>
        <w:spacing w:line="360" w:lineRule="auto"/>
        <w:jc w:val="both"/>
        <w:rPr>
          <w:rFonts w:ascii="Times New Roman" w:hAnsi="Times New Roman" w:cs="Times New Roman"/>
          <w:sz w:val="24"/>
          <w:szCs w:val="24"/>
        </w:rPr>
      </w:pPr>
      <w:r w:rsidRPr="006B4F05">
        <w:rPr>
          <w:rFonts w:ascii="Times New Roman" w:hAnsi="Times New Roman" w:cs="Times New Roman"/>
          <w:sz w:val="24"/>
          <w:szCs w:val="24"/>
        </w:rPr>
        <w:t>Following Cameron and Poot (2010; 2011), distributional assumptions for each multiplier were based on observed data from 1950 to 2009. The fertility multiplier was assumed normally distributed with a mean zero and standard deviation of 1.25 (giving a range of about +/- 5% of the mean fertility rates). The survivorship multiplier was assumed normally distributed with mean zero and a standard deviation of 0.5 (i.e. giving a range of +/- 2% of the mean mortality r</w:t>
      </w:r>
      <w:r w:rsidR="009D5B7A">
        <w:rPr>
          <w:rFonts w:ascii="Times New Roman" w:hAnsi="Times New Roman" w:cs="Times New Roman"/>
          <w:sz w:val="24"/>
          <w:szCs w:val="24"/>
        </w:rPr>
        <w:t>ates).</w:t>
      </w:r>
    </w:p>
    <w:p w14:paraId="709C735C" w14:textId="77777777" w:rsidR="00FB35C4" w:rsidRDefault="009D5B7A" w:rsidP="009D5B7A">
      <w:pPr>
        <w:spacing w:line="360" w:lineRule="auto"/>
        <w:jc w:val="both"/>
        <w:rPr>
          <w:rFonts w:ascii="Times New Roman" w:hAnsi="Times New Roman" w:cs="Times New Roman"/>
          <w:sz w:val="24"/>
          <w:szCs w:val="24"/>
        </w:rPr>
      </w:pPr>
      <w:r>
        <w:rPr>
          <w:rFonts w:ascii="Times New Roman" w:hAnsi="Times New Roman" w:cs="Times New Roman"/>
          <w:sz w:val="24"/>
          <w:szCs w:val="24"/>
        </w:rPr>
        <w:t>For international migration (emigration and immigration), the high-variant projections assumed 10% lower emigration and 10% higher total immigration throughout the projection period, while the low-variant projections assumed 10% higher emigration and 10% lower total immigration throughout the projection period. These assumptions were based on observed variation in emigration and immigration ov</w:t>
      </w:r>
      <w:r w:rsidR="006E6268">
        <w:rPr>
          <w:rFonts w:ascii="Times New Roman" w:hAnsi="Times New Roman" w:cs="Times New Roman"/>
          <w:sz w:val="24"/>
          <w:szCs w:val="24"/>
        </w:rPr>
        <w:t>er the period from 1980 to 2020, and approximately represent one standard deviation lower, and higher, net migration flows for the low-variant and high-variant projections respectively.</w:t>
      </w:r>
    </w:p>
    <w:p w14:paraId="3D0282C3" w14:textId="77777777" w:rsidR="009D5B7A" w:rsidRDefault="00FB35C4" w:rsidP="009D5B7A">
      <w:pPr>
        <w:spacing w:line="360" w:lineRule="auto"/>
        <w:jc w:val="both"/>
        <w:rPr>
          <w:rFonts w:ascii="Times New Roman" w:hAnsi="Times New Roman" w:cs="Times New Roman"/>
          <w:sz w:val="24"/>
          <w:szCs w:val="24"/>
        </w:rPr>
      </w:pPr>
      <w:r>
        <w:rPr>
          <w:rFonts w:ascii="Times New Roman" w:hAnsi="Times New Roman" w:cs="Times New Roman"/>
          <w:sz w:val="24"/>
          <w:szCs w:val="24"/>
        </w:rPr>
        <w:t>The internal migration model was not adjusted for the low-variant or high-variant projections from that used for the medium-variant projections. That is because internal migration is a means of distributing population within the country, so by definition has no role in creating higher or lower projected populations, when the population of the entire country is being projected. That is, if internal migration were increased for some TAs, it must be reduced for other TAs, because the overall sum of net internal migration must be zero.</w:t>
      </w:r>
    </w:p>
    <w:p w14:paraId="245F53E0" w14:textId="77777777" w:rsidR="000071DC" w:rsidRDefault="000071DC" w:rsidP="00FB35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interpretation of different projection scenarios is important. Specifically, the three variants (low, medium, and high) should be interpreted as individual scenarios from the many possible futures that could be realised for population, family and households, and the labour force. No scenario is any more likely than any other scenario of being the ‘actual’ path that future </w:t>
      </w:r>
      <w:r w:rsidR="00FB35C4">
        <w:rPr>
          <w:rFonts w:ascii="Times New Roman" w:hAnsi="Times New Roman" w:cs="Times New Roman"/>
          <w:sz w:val="24"/>
          <w:szCs w:val="24"/>
        </w:rPr>
        <w:t>trends follow</w:t>
      </w:r>
      <w:r>
        <w:rPr>
          <w:rFonts w:ascii="Times New Roman" w:hAnsi="Times New Roman" w:cs="Times New Roman"/>
          <w:sz w:val="24"/>
          <w:szCs w:val="24"/>
        </w:rPr>
        <w:t xml:space="preserve">. However, the three variants (low, medium, and high) </w:t>
      </w:r>
      <w:r w:rsidR="00FB35C4">
        <w:rPr>
          <w:rFonts w:ascii="Times New Roman" w:hAnsi="Times New Roman" w:cs="Times New Roman"/>
          <w:sz w:val="24"/>
          <w:szCs w:val="24"/>
        </w:rPr>
        <w:t xml:space="preserve">can be used to </w:t>
      </w:r>
      <w:r>
        <w:rPr>
          <w:rFonts w:ascii="Times New Roman" w:hAnsi="Times New Roman" w:cs="Times New Roman"/>
          <w:sz w:val="24"/>
          <w:szCs w:val="24"/>
        </w:rPr>
        <w:t>give a coarse representation of the uncertainty in the projections.</w:t>
      </w:r>
    </w:p>
    <w:p w14:paraId="78217477" w14:textId="77777777" w:rsidR="000071DC" w:rsidRDefault="000071DC" w:rsidP="002F33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medium-variant scenario represents approximately the centre of the distribution of all potential scenarios generated with this model and within the plausible distribution of assumptions. It is not exactly the middle of the distribution because the distribution of scenarios </w:t>
      </w:r>
      <w:r w:rsidRPr="002F33D8">
        <w:rPr>
          <w:rFonts w:ascii="Times New Roman" w:hAnsi="Times New Roman" w:cs="Times New Roman"/>
          <w:sz w:val="24"/>
          <w:szCs w:val="24"/>
        </w:rPr>
        <w:lastRenderedPageBreak/>
        <w:t xml:space="preserve">is likely to be asymmetric (for most TAs, the distribution has more ‘upside risk’ than ‘downside risk’) – for a demonstration of this, see </w:t>
      </w:r>
      <w:r w:rsidR="00FA2DCB" w:rsidRPr="002F33D8">
        <w:rPr>
          <w:rFonts w:ascii="Times New Roman" w:hAnsi="Times New Roman" w:cs="Times New Roman"/>
          <w:sz w:val="24"/>
          <w:szCs w:val="24"/>
        </w:rPr>
        <w:t>Jackson et al. (2014a; 2014b</w:t>
      </w:r>
      <w:r w:rsidRPr="002F33D8">
        <w:rPr>
          <w:rFonts w:ascii="Times New Roman" w:hAnsi="Times New Roman" w:cs="Times New Roman"/>
          <w:sz w:val="24"/>
          <w:szCs w:val="24"/>
        </w:rPr>
        <w:t>), which include both a</w:t>
      </w:r>
      <w:r>
        <w:rPr>
          <w:rFonts w:ascii="Times New Roman" w:hAnsi="Times New Roman" w:cs="Times New Roman"/>
          <w:sz w:val="24"/>
          <w:szCs w:val="24"/>
        </w:rPr>
        <w:t xml:space="preserve"> medium scenario projection, and a median stochastic projection. The interval between the low-variant scenario and the high-variant scenario represents approximately a 67 percent projection </w:t>
      </w:r>
      <w:r w:rsidRPr="002F33D8">
        <w:rPr>
          <w:rFonts w:ascii="Times New Roman" w:hAnsi="Times New Roman" w:cs="Times New Roman"/>
          <w:sz w:val="24"/>
          <w:szCs w:val="24"/>
        </w:rPr>
        <w:t xml:space="preserve">interval of all potential scenarios generated with this model and within the plausible distribution of assumptions. This interpretation was demonstrated by </w:t>
      </w:r>
      <w:proofErr w:type="spellStart"/>
      <w:r w:rsidR="002F33D8" w:rsidRPr="002F33D8">
        <w:rPr>
          <w:rFonts w:ascii="Times New Roman" w:hAnsi="Times New Roman" w:cs="Times New Roman"/>
          <w:sz w:val="24"/>
          <w:szCs w:val="24"/>
        </w:rPr>
        <w:t>Stoto</w:t>
      </w:r>
      <w:proofErr w:type="spellEnd"/>
      <w:r w:rsidRPr="002F33D8">
        <w:rPr>
          <w:rFonts w:ascii="Times New Roman" w:hAnsi="Times New Roman" w:cs="Times New Roman"/>
          <w:sz w:val="24"/>
          <w:szCs w:val="24"/>
        </w:rPr>
        <w:t xml:space="preserve"> (</w:t>
      </w:r>
      <w:r w:rsidR="002F33D8" w:rsidRPr="002F33D8">
        <w:rPr>
          <w:rFonts w:ascii="Times New Roman" w:hAnsi="Times New Roman" w:cs="Times New Roman"/>
          <w:sz w:val="24"/>
          <w:szCs w:val="24"/>
        </w:rPr>
        <w:t>1983</w:t>
      </w:r>
      <w:r w:rsidRPr="002F33D8">
        <w:rPr>
          <w:rFonts w:ascii="Times New Roman" w:hAnsi="Times New Roman" w:cs="Times New Roman"/>
          <w:sz w:val="24"/>
          <w:szCs w:val="24"/>
        </w:rPr>
        <w:t>)</w:t>
      </w:r>
      <w:r w:rsidR="002F33D8">
        <w:rPr>
          <w:rFonts w:ascii="Times New Roman" w:hAnsi="Times New Roman" w:cs="Times New Roman"/>
          <w:sz w:val="24"/>
          <w:szCs w:val="24"/>
        </w:rPr>
        <w:t xml:space="preserve"> and </w:t>
      </w:r>
      <w:proofErr w:type="spellStart"/>
      <w:r w:rsidR="002F33D8">
        <w:rPr>
          <w:rFonts w:ascii="Times New Roman" w:hAnsi="Times New Roman" w:cs="Times New Roman"/>
          <w:sz w:val="24"/>
          <w:szCs w:val="24"/>
        </w:rPr>
        <w:t>Alho</w:t>
      </w:r>
      <w:proofErr w:type="spellEnd"/>
      <w:r w:rsidR="002F33D8">
        <w:rPr>
          <w:rFonts w:ascii="Times New Roman" w:hAnsi="Times New Roman" w:cs="Times New Roman"/>
          <w:sz w:val="24"/>
          <w:szCs w:val="24"/>
        </w:rPr>
        <w:t xml:space="preserve"> et al. (2008)</w:t>
      </w:r>
      <w:r w:rsidRPr="002F33D8">
        <w:rPr>
          <w:rFonts w:ascii="Times New Roman" w:hAnsi="Times New Roman" w:cs="Times New Roman"/>
          <w:sz w:val="24"/>
          <w:szCs w:val="24"/>
        </w:rPr>
        <w:t>, and has recently been employed by Cameron</w:t>
      </w:r>
      <w:r w:rsidR="002F33D8" w:rsidRPr="002F33D8">
        <w:rPr>
          <w:rFonts w:ascii="Times New Roman" w:hAnsi="Times New Roman" w:cs="Times New Roman"/>
          <w:sz w:val="24"/>
          <w:szCs w:val="24"/>
        </w:rPr>
        <w:t xml:space="preserve"> </w:t>
      </w:r>
      <w:r w:rsidR="002F33D8" w:rsidRPr="002F33D8">
        <w:rPr>
          <w:rFonts w:ascii="Times New Roman" w:hAnsi="Times New Roman" w:cs="Times New Roman"/>
          <w:i/>
          <w:iCs/>
          <w:sz w:val="24"/>
          <w:szCs w:val="24"/>
        </w:rPr>
        <w:t>et al</w:t>
      </w:r>
      <w:r w:rsidR="002F33D8" w:rsidRPr="002F33D8">
        <w:rPr>
          <w:rFonts w:ascii="Times New Roman" w:hAnsi="Times New Roman" w:cs="Times New Roman"/>
          <w:sz w:val="24"/>
          <w:szCs w:val="24"/>
        </w:rPr>
        <w:t>.</w:t>
      </w:r>
      <w:r w:rsidRPr="002F33D8">
        <w:rPr>
          <w:rFonts w:ascii="Times New Roman" w:hAnsi="Times New Roman" w:cs="Times New Roman"/>
          <w:sz w:val="24"/>
          <w:szCs w:val="24"/>
        </w:rPr>
        <w:t xml:space="preserve"> (2021) in a book chapter on uncertainty in subnational population projections. Under this interpretation, the interval between the low-variant and high-variant</w:t>
      </w:r>
      <w:r>
        <w:rPr>
          <w:rFonts w:ascii="Times New Roman" w:hAnsi="Times New Roman" w:cs="Times New Roman"/>
          <w:sz w:val="24"/>
          <w:szCs w:val="24"/>
        </w:rPr>
        <w:t xml:space="preserve"> projections should be expected to capture the actual future population approximately 67 percent of the time. Approximately 33 percent of the time, the actual future population can be expected to be either higher than the high-variant projection, or lower than the low-variant projection.</w:t>
      </w:r>
    </w:p>
    <w:p w14:paraId="367DECFF" w14:textId="77777777" w:rsidR="000071DC" w:rsidRDefault="000071DC" w:rsidP="000071DC">
      <w:pPr>
        <w:spacing w:line="360" w:lineRule="auto"/>
        <w:jc w:val="both"/>
        <w:rPr>
          <w:rFonts w:ascii="Times New Roman" w:hAnsi="Times New Roman" w:cs="Times New Roman"/>
          <w:sz w:val="24"/>
          <w:szCs w:val="24"/>
        </w:rPr>
      </w:pPr>
      <w:r>
        <w:rPr>
          <w:rFonts w:ascii="Times New Roman" w:hAnsi="Times New Roman" w:cs="Times New Roman"/>
          <w:sz w:val="24"/>
          <w:szCs w:val="24"/>
        </w:rPr>
        <w:t>An alternative way of interpreting the three variants (low, medium, and high) is that the low-variant projection is broadly representative of the bottom one-third of all potential scenarios generated with this model and within the plausible distribution of assumptions. The medium-variant projection is broadly representative of the middle one-third of all potential scenarios generated with this model and within the plausible distribution of assumptions. The high-variant projection is broadly representative of the top one-third of all potential scenarios generated with this model and within the plausible distribution of assumptions.</w:t>
      </w:r>
    </w:p>
    <w:p w14:paraId="17F9BE8B" w14:textId="77777777" w:rsidR="00B60483" w:rsidRDefault="00B60483" w:rsidP="002F33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Regardless of interpretation, it should be recognised that population projections are not a forecast of the future, unless they are considered alongside an appropriate measure of uncertainty. While the interval between the low-variant and high-variant projection adequately </w:t>
      </w:r>
      <w:r w:rsidRPr="002F33D8">
        <w:rPr>
          <w:rFonts w:ascii="Times New Roman" w:hAnsi="Times New Roman" w:cs="Times New Roman"/>
          <w:sz w:val="24"/>
          <w:szCs w:val="24"/>
        </w:rPr>
        <w:t xml:space="preserve">captures this uncertainty for the medium-variant projection, an even better method for representing uncertainty is to use stochastic population projections, where the uncertainty is directly modelled (e.g. see Cameron and Poot, </w:t>
      </w:r>
      <w:r w:rsidR="002F33D8" w:rsidRPr="002F33D8">
        <w:rPr>
          <w:rFonts w:ascii="Times New Roman" w:hAnsi="Times New Roman" w:cs="Times New Roman"/>
          <w:sz w:val="24"/>
          <w:szCs w:val="24"/>
        </w:rPr>
        <w:t>2010; 2011</w:t>
      </w:r>
      <w:r w:rsidRPr="002F33D8">
        <w:rPr>
          <w:rFonts w:ascii="Times New Roman" w:hAnsi="Times New Roman" w:cs="Times New Roman"/>
          <w:sz w:val="24"/>
          <w:szCs w:val="24"/>
        </w:rPr>
        <w:t>).</w:t>
      </w:r>
    </w:p>
    <w:p w14:paraId="630F8E0C" w14:textId="77777777" w:rsidR="00906E52" w:rsidRDefault="00906E52" w:rsidP="001343CA">
      <w:pPr>
        <w:spacing w:line="360" w:lineRule="auto"/>
        <w:jc w:val="both"/>
        <w:rPr>
          <w:rFonts w:ascii="Times New Roman" w:hAnsi="Times New Roman" w:cs="Times New Roman"/>
          <w:sz w:val="24"/>
          <w:szCs w:val="24"/>
        </w:rPr>
      </w:pPr>
    </w:p>
    <w:p w14:paraId="66C93AFF" w14:textId="77777777" w:rsidR="00BE1420" w:rsidRPr="006B4F05" w:rsidRDefault="00BE1420" w:rsidP="00EE01D2">
      <w:pPr>
        <w:spacing w:line="360" w:lineRule="auto"/>
        <w:jc w:val="both"/>
        <w:rPr>
          <w:rFonts w:ascii="Times New Roman" w:hAnsi="Times New Roman" w:cs="Times New Roman"/>
          <w:i/>
          <w:sz w:val="24"/>
          <w:szCs w:val="24"/>
        </w:rPr>
      </w:pPr>
      <w:r w:rsidRPr="00B60483">
        <w:rPr>
          <w:rFonts w:ascii="Times New Roman" w:hAnsi="Times New Roman" w:cs="Times New Roman"/>
          <w:i/>
          <w:sz w:val="24"/>
          <w:szCs w:val="24"/>
        </w:rPr>
        <w:t>2.</w:t>
      </w:r>
      <w:r w:rsidR="00B60483">
        <w:rPr>
          <w:rFonts w:ascii="Times New Roman" w:hAnsi="Times New Roman" w:cs="Times New Roman"/>
          <w:i/>
          <w:sz w:val="24"/>
          <w:szCs w:val="24"/>
        </w:rPr>
        <w:t>10</w:t>
      </w:r>
      <w:r w:rsidRPr="00B60483">
        <w:rPr>
          <w:rFonts w:ascii="Times New Roman" w:hAnsi="Times New Roman" w:cs="Times New Roman"/>
          <w:i/>
          <w:sz w:val="24"/>
          <w:szCs w:val="24"/>
        </w:rPr>
        <w:t xml:space="preserve"> Family and Household Projection </w:t>
      </w:r>
      <w:r w:rsidR="00EE01D2">
        <w:rPr>
          <w:rFonts w:ascii="Times New Roman" w:hAnsi="Times New Roman" w:cs="Times New Roman"/>
          <w:i/>
          <w:sz w:val="24"/>
          <w:szCs w:val="24"/>
        </w:rPr>
        <w:t>Methods and Assumptions</w:t>
      </w:r>
    </w:p>
    <w:p w14:paraId="50E94445" w14:textId="77777777" w:rsidR="002F33D8" w:rsidRDefault="004E1A0D" w:rsidP="00910976">
      <w:pPr>
        <w:spacing w:line="360" w:lineRule="auto"/>
        <w:jc w:val="both"/>
        <w:rPr>
          <w:rFonts w:ascii="Times New Roman" w:hAnsi="Times New Roman" w:cs="Times New Roman"/>
          <w:sz w:val="24"/>
          <w:szCs w:val="24"/>
        </w:rPr>
      </w:pPr>
      <w:r w:rsidRPr="004E1A0D">
        <w:rPr>
          <w:rFonts w:ascii="Times New Roman" w:hAnsi="Times New Roman" w:cs="Times New Roman"/>
          <w:sz w:val="24"/>
          <w:szCs w:val="24"/>
        </w:rPr>
        <w:t xml:space="preserve">Projections of the future number of families and households </w:t>
      </w:r>
      <w:r>
        <w:rPr>
          <w:rFonts w:ascii="Times New Roman" w:hAnsi="Times New Roman" w:cs="Times New Roman"/>
          <w:sz w:val="24"/>
          <w:szCs w:val="24"/>
        </w:rPr>
        <w:t>were</w:t>
      </w:r>
      <w:r w:rsidRPr="004E1A0D">
        <w:rPr>
          <w:rFonts w:ascii="Times New Roman" w:hAnsi="Times New Roman" w:cs="Times New Roman"/>
          <w:sz w:val="24"/>
          <w:szCs w:val="24"/>
        </w:rPr>
        <w:t xml:space="preserve"> obtained by applying age</w:t>
      </w:r>
      <w:r>
        <w:rPr>
          <w:rFonts w:ascii="Times New Roman" w:hAnsi="Times New Roman" w:cs="Times New Roman"/>
          <w:sz w:val="24"/>
          <w:szCs w:val="24"/>
        </w:rPr>
        <w:t>- and gender-</w:t>
      </w:r>
      <w:r w:rsidRPr="004E1A0D">
        <w:rPr>
          <w:rFonts w:ascii="Times New Roman" w:hAnsi="Times New Roman" w:cs="Times New Roman"/>
          <w:sz w:val="24"/>
          <w:szCs w:val="24"/>
        </w:rPr>
        <w:t>specific assumptions about future trends in living arrangement type rates</w:t>
      </w:r>
      <w:r w:rsidR="00910976">
        <w:rPr>
          <w:rFonts w:ascii="Times New Roman" w:hAnsi="Times New Roman" w:cs="Times New Roman"/>
          <w:sz w:val="24"/>
          <w:szCs w:val="24"/>
        </w:rPr>
        <w:t xml:space="preserve"> (LATRs)</w:t>
      </w:r>
      <w:r w:rsidRPr="004E1A0D">
        <w:rPr>
          <w:rFonts w:ascii="Times New Roman" w:hAnsi="Times New Roman" w:cs="Times New Roman"/>
          <w:sz w:val="24"/>
          <w:szCs w:val="24"/>
        </w:rPr>
        <w:t xml:space="preserve"> and average household sizes to the projected population</w:t>
      </w:r>
      <w:r>
        <w:rPr>
          <w:rFonts w:ascii="Times New Roman" w:hAnsi="Times New Roman" w:cs="Times New Roman"/>
          <w:sz w:val="24"/>
          <w:szCs w:val="24"/>
        </w:rPr>
        <w:t>, as described in Cameron et al. (2007)</w:t>
      </w:r>
      <w:r w:rsidR="002F33D8">
        <w:rPr>
          <w:rFonts w:ascii="Times New Roman" w:hAnsi="Times New Roman" w:cs="Times New Roman"/>
          <w:sz w:val="24"/>
          <w:szCs w:val="24"/>
        </w:rPr>
        <w:t>.</w:t>
      </w:r>
      <w:r w:rsidR="00910976">
        <w:rPr>
          <w:rFonts w:ascii="Times New Roman" w:hAnsi="Times New Roman" w:cs="Times New Roman"/>
          <w:sz w:val="24"/>
          <w:szCs w:val="24"/>
        </w:rPr>
        <w:t xml:space="preserve"> </w:t>
      </w:r>
      <w:r w:rsidR="00910976" w:rsidRPr="004E1A0D">
        <w:rPr>
          <w:rFonts w:ascii="Times New Roman" w:hAnsi="Times New Roman" w:cs="Times New Roman"/>
          <w:sz w:val="24"/>
          <w:szCs w:val="24"/>
        </w:rPr>
        <w:t xml:space="preserve">The number of persons living in a particular living arrangement type is derived by multiplying </w:t>
      </w:r>
      <w:r w:rsidR="00910976" w:rsidRPr="004E1A0D">
        <w:rPr>
          <w:rFonts w:ascii="Times New Roman" w:hAnsi="Times New Roman" w:cs="Times New Roman"/>
          <w:sz w:val="24"/>
          <w:szCs w:val="24"/>
        </w:rPr>
        <w:lastRenderedPageBreak/>
        <w:t>the age- and gender-specific living arrangement type rate (LATR) by the number of persons at that age and gender and summating. LATRs can be thought of as the probability of an individual being in a particular living arrangement</w:t>
      </w:r>
      <w:r w:rsidR="00910976">
        <w:rPr>
          <w:rFonts w:ascii="Times New Roman" w:hAnsi="Times New Roman" w:cs="Times New Roman"/>
          <w:sz w:val="24"/>
          <w:szCs w:val="24"/>
        </w:rPr>
        <w:t>. Living arrangements include families (couples without children, couples with children, and one-parent families), other multi-person households (containing no families), single-person households, and people living in non-private dwellings (such as prisons, nursing homes, or student halls of residence). The number of households is made up of the number of family households (which is necessarily smaller than the number of families, because some households contain more than one family), other multi-person households, and single-person households.</w:t>
      </w:r>
    </w:p>
    <w:p w14:paraId="1FECD9AB" w14:textId="77777777" w:rsidR="00EE01D2" w:rsidRDefault="004E1A0D" w:rsidP="009109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used LATRs </w:t>
      </w:r>
      <w:r w:rsidR="00EE01D2">
        <w:rPr>
          <w:rFonts w:ascii="Times New Roman" w:hAnsi="Times New Roman" w:cs="Times New Roman"/>
          <w:sz w:val="24"/>
          <w:szCs w:val="24"/>
        </w:rPr>
        <w:t>and other assumptions</w:t>
      </w:r>
      <w:r w:rsidR="00910976">
        <w:rPr>
          <w:rFonts w:ascii="Times New Roman" w:hAnsi="Times New Roman" w:cs="Times New Roman"/>
          <w:sz w:val="24"/>
          <w:szCs w:val="24"/>
        </w:rPr>
        <w:t xml:space="preserve"> (the average number of families per family household, and the average household size for other multi-person households)</w:t>
      </w:r>
      <w:r w:rsidR="00EE01D2">
        <w:rPr>
          <w:rFonts w:ascii="Times New Roman" w:hAnsi="Times New Roman" w:cs="Times New Roman"/>
          <w:sz w:val="24"/>
          <w:szCs w:val="24"/>
        </w:rPr>
        <w:t xml:space="preserve"> </w:t>
      </w:r>
      <w:r>
        <w:rPr>
          <w:rFonts w:ascii="Times New Roman" w:hAnsi="Times New Roman" w:cs="Times New Roman"/>
          <w:sz w:val="24"/>
          <w:szCs w:val="24"/>
        </w:rPr>
        <w:t>provided by SNZ, which were used in their 2013-base subnational family and household projections, as these were the best available data at the time of these projections.</w:t>
      </w:r>
      <w:r w:rsidR="00910976">
        <w:rPr>
          <w:rFonts w:ascii="Times New Roman" w:hAnsi="Times New Roman" w:cs="Times New Roman"/>
          <w:sz w:val="24"/>
          <w:szCs w:val="24"/>
        </w:rPr>
        <w:t xml:space="preserve"> </w:t>
      </w:r>
      <w:r w:rsidR="00EE01D2">
        <w:rPr>
          <w:rFonts w:ascii="Times New Roman" w:hAnsi="Times New Roman" w:cs="Times New Roman"/>
          <w:sz w:val="24"/>
          <w:szCs w:val="24"/>
        </w:rPr>
        <w:t xml:space="preserve">The 2016-update projections </w:t>
      </w:r>
      <w:r w:rsidR="00910976">
        <w:rPr>
          <w:rFonts w:ascii="Times New Roman" w:hAnsi="Times New Roman" w:cs="Times New Roman"/>
          <w:sz w:val="24"/>
          <w:szCs w:val="24"/>
        </w:rPr>
        <w:t>made a further modification of</w:t>
      </w:r>
      <w:r w:rsidR="00EE01D2">
        <w:rPr>
          <w:rFonts w:ascii="Times New Roman" w:hAnsi="Times New Roman" w:cs="Times New Roman"/>
          <w:sz w:val="24"/>
          <w:szCs w:val="24"/>
        </w:rPr>
        <w:t xml:space="preserve"> the base populations to account for people living in non-private dwellings. Following discussions with SNZ and careful inspection of the base data, we note that these adjustments are not necessary. </w:t>
      </w:r>
      <w:r w:rsidR="00EE01D2" w:rsidRPr="00910976">
        <w:rPr>
          <w:rFonts w:ascii="Times New Roman" w:hAnsi="Times New Roman" w:cs="Times New Roman"/>
          <w:sz w:val="24"/>
          <w:szCs w:val="24"/>
        </w:rPr>
        <w:t xml:space="preserve">However, applying the LATR assumptions of SNZ clearly leads to an over-projection of families and households, compared with Census data (see Cameron and Cochrane, </w:t>
      </w:r>
      <w:r w:rsidR="00910976" w:rsidRPr="00910976">
        <w:rPr>
          <w:rFonts w:ascii="Times New Roman" w:hAnsi="Times New Roman" w:cs="Times New Roman"/>
          <w:sz w:val="24"/>
          <w:szCs w:val="24"/>
        </w:rPr>
        <w:t>2016</w:t>
      </w:r>
      <w:r w:rsidR="00EE01D2" w:rsidRPr="00910976">
        <w:rPr>
          <w:rFonts w:ascii="Times New Roman" w:hAnsi="Times New Roman" w:cs="Times New Roman"/>
          <w:sz w:val="24"/>
          <w:szCs w:val="24"/>
        </w:rPr>
        <w:t>).</w:t>
      </w:r>
      <w:r w:rsidR="00910976">
        <w:rPr>
          <w:rFonts w:ascii="Times New Roman" w:hAnsi="Times New Roman" w:cs="Times New Roman"/>
          <w:sz w:val="24"/>
          <w:szCs w:val="24"/>
        </w:rPr>
        <w:t xml:space="preserve"> In the current</w:t>
      </w:r>
      <w:r w:rsidR="00EE01D2" w:rsidRPr="00910976">
        <w:rPr>
          <w:rFonts w:ascii="Times New Roman" w:hAnsi="Times New Roman" w:cs="Times New Roman"/>
          <w:sz w:val="24"/>
          <w:szCs w:val="24"/>
        </w:rPr>
        <w:t xml:space="preserve"> pr</w:t>
      </w:r>
      <w:r w:rsidR="00910976">
        <w:rPr>
          <w:rFonts w:ascii="Times New Roman" w:hAnsi="Times New Roman" w:cs="Times New Roman"/>
          <w:sz w:val="24"/>
          <w:szCs w:val="24"/>
        </w:rPr>
        <w:t>ojections, rather than making a population</w:t>
      </w:r>
      <w:r w:rsidR="00EE01D2" w:rsidRPr="00910976">
        <w:rPr>
          <w:rFonts w:ascii="Times New Roman" w:hAnsi="Times New Roman" w:cs="Times New Roman"/>
          <w:sz w:val="24"/>
          <w:szCs w:val="24"/>
        </w:rPr>
        <w:t xml:space="preserve"> adjustment to better reflect the</w:t>
      </w:r>
      <w:r w:rsidR="00EE01D2">
        <w:rPr>
          <w:rFonts w:ascii="Times New Roman" w:hAnsi="Times New Roman" w:cs="Times New Roman"/>
          <w:sz w:val="24"/>
          <w:szCs w:val="24"/>
        </w:rPr>
        <w:t xml:space="preserve"> expected number of Census-year households at the beginning of the projection period (scaled to account for net Census undercount, as well as an adjustment for the difference between the March Census date and the 30 June projections date), we instead directly scaled the initial number of family households, other multi-person households, and </w:t>
      </w:r>
      <w:r w:rsidR="00910976">
        <w:rPr>
          <w:rFonts w:ascii="Times New Roman" w:hAnsi="Times New Roman" w:cs="Times New Roman"/>
          <w:sz w:val="24"/>
          <w:szCs w:val="24"/>
        </w:rPr>
        <w:t>single</w:t>
      </w:r>
      <w:r w:rsidR="00EE01D2">
        <w:rPr>
          <w:rFonts w:ascii="Times New Roman" w:hAnsi="Times New Roman" w:cs="Times New Roman"/>
          <w:sz w:val="24"/>
          <w:szCs w:val="24"/>
        </w:rPr>
        <w:t>-person households to match the expected number in each TA. Those TA-specific scaling factors were then applied to the projected living arrangement type rates throughout the projection period, to ensure a consistent time series with the actual Census data on families and households in each TA.</w:t>
      </w:r>
    </w:p>
    <w:p w14:paraId="5C673D5A" w14:textId="77777777" w:rsidR="004E1A0D" w:rsidRDefault="004E1A0D" w:rsidP="00EE01D2">
      <w:pPr>
        <w:spacing w:line="360" w:lineRule="auto"/>
        <w:jc w:val="both"/>
        <w:rPr>
          <w:rFonts w:ascii="Times New Roman" w:hAnsi="Times New Roman" w:cs="Times New Roman"/>
          <w:sz w:val="24"/>
          <w:szCs w:val="24"/>
        </w:rPr>
      </w:pPr>
      <w:r>
        <w:rPr>
          <w:rFonts w:ascii="Times New Roman" w:hAnsi="Times New Roman" w:cs="Times New Roman"/>
          <w:sz w:val="24"/>
          <w:szCs w:val="24"/>
        </w:rPr>
        <w:t>LATRs were</w:t>
      </w:r>
      <w:r w:rsidRPr="006B4F05">
        <w:rPr>
          <w:rFonts w:ascii="Times New Roman" w:hAnsi="Times New Roman" w:cs="Times New Roman"/>
          <w:sz w:val="24"/>
          <w:szCs w:val="24"/>
        </w:rPr>
        <w:t xml:space="preserve"> assumed to follow the SNZ projections to 2</w:t>
      </w:r>
      <w:r>
        <w:rPr>
          <w:rFonts w:ascii="Times New Roman" w:hAnsi="Times New Roman" w:cs="Times New Roman"/>
          <w:sz w:val="24"/>
          <w:szCs w:val="24"/>
        </w:rPr>
        <w:t>0</w:t>
      </w:r>
      <w:r w:rsidR="00EE01D2">
        <w:rPr>
          <w:rFonts w:ascii="Times New Roman" w:hAnsi="Times New Roman" w:cs="Times New Roman"/>
          <w:sz w:val="24"/>
          <w:szCs w:val="24"/>
        </w:rPr>
        <w:t>38</w:t>
      </w:r>
      <w:r>
        <w:rPr>
          <w:rFonts w:ascii="Times New Roman" w:hAnsi="Times New Roman" w:cs="Times New Roman"/>
          <w:sz w:val="24"/>
          <w:szCs w:val="24"/>
        </w:rPr>
        <w:t>,</w:t>
      </w:r>
      <w:r w:rsidRPr="006B4F05">
        <w:rPr>
          <w:rFonts w:ascii="Times New Roman" w:hAnsi="Times New Roman" w:cs="Times New Roman"/>
          <w:sz w:val="24"/>
          <w:szCs w:val="24"/>
        </w:rPr>
        <w:t xml:space="preserve"> then </w:t>
      </w:r>
      <w:r>
        <w:rPr>
          <w:rFonts w:ascii="Times New Roman" w:hAnsi="Times New Roman" w:cs="Times New Roman"/>
          <w:sz w:val="24"/>
          <w:szCs w:val="24"/>
        </w:rPr>
        <w:t>continue to improve in a linear fashion through until 2068</w:t>
      </w:r>
      <w:r w:rsidRPr="006B4F05">
        <w:rPr>
          <w:rFonts w:ascii="Times New Roman" w:hAnsi="Times New Roman" w:cs="Times New Roman"/>
          <w:sz w:val="24"/>
          <w:szCs w:val="24"/>
        </w:rPr>
        <w:t>.</w:t>
      </w:r>
      <w:r>
        <w:rPr>
          <w:rFonts w:ascii="Times New Roman" w:hAnsi="Times New Roman" w:cs="Times New Roman"/>
          <w:sz w:val="24"/>
          <w:szCs w:val="24"/>
        </w:rPr>
        <w:t xml:space="preserve"> This represents a slight modification on the previous </w:t>
      </w:r>
      <w:r w:rsidR="00EE01D2">
        <w:rPr>
          <w:rFonts w:ascii="Times New Roman" w:hAnsi="Times New Roman" w:cs="Times New Roman"/>
          <w:sz w:val="24"/>
          <w:szCs w:val="24"/>
        </w:rPr>
        <w:t>LATR</w:t>
      </w:r>
      <w:r>
        <w:rPr>
          <w:rFonts w:ascii="Times New Roman" w:hAnsi="Times New Roman" w:cs="Times New Roman"/>
          <w:sz w:val="24"/>
          <w:szCs w:val="24"/>
        </w:rPr>
        <w:t xml:space="preserve"> </w:t>
      </w:r>
      <w:r w:rsidRPr="00910976">
        <w:rPr>
          <w:rFonts w:ascii="Times New Roman" w:hAnsi="Times New Roman" w:cs="Times New Roman"/>
          <w:sz w:val="24"/>
          <w:szCs w:val="24"/>
        </w:rPr>
        <w:t xml:space="preserve">assumptions, which assumed no further </w:t>
      </w:r>
      <w:r w:rsidR="00EE01D2" w:rsidRPr="00910976">
        <w:rPr>
          <w:rFonts w:ascii="Times New Roman" w:hAnsi="Times New Roman" w:cs="Times New Roman"/>
          <w:sz w:val="24"/>
          <w:szCs w:val="24"/>
        </w:rPr>
        <w:t>changes in LATRs</w:t>
      </w:r>
      <w:r w:rsidRPr="00910976">
        <w:rPr>
          <w:rFonts w:ascii="Times New Roman" w:hAnsi="Times New Roman" w:cs="Times New Roman"/>
          <w:sz w:val="24"/>
          <w:szCs w:val="24"/>
        </w:rPr>
        <w:t xml:space="preserve"> after 20</w:t>
      </w:r>
      <w:r w:rsidR="00EE01D2" w:rsidRPr="00910976">
        <w:rPr>
          <w:rFonts w:ascii="Times New Roman" w:hAnsi="Times New Roman" w:cs="Times New Roman"/>
          <w:sz w:val="24"/>
          <w:szCs w:val="24"/>
        </w:rPr>
        <w:t>38</w:t>
      </w:r>
      <w:r w:rsidRPr="00910976">
        <w:rPr>
          <w:rFonts w:ascii="Times New Roman" w:hAnsi="Times New Roman" w:cs="Times New Roman"/>
          <w:sz w:val="24"/>
          <w:szCs w:val="24"/>
        </w:rPr>
        <w:t xml:space="preserve"> (Cameron and Cochrane, 2016).</w:t>
      </w:r>
      <w:r w:rsidR="00EE01D2" w:rsidRPr="00910976">
        <w:rPr>
          <w:rFonts w:ascii="Times New Roman" w:hAnsi="Times New Roman" w:cs="Times New Roman"/>
          <w:sz w:val="24"/>
          <w:szCs w:val="24"/>
        </w:rPr>
        <w:t xml:space="preserve"> In contrast, the number of households per multi-family household and the number of</w:t>
      </w:r>
      <w:r w:rsidR="00EE01D2">
        <w:rPr>
          <w:rFonts w:ascii="Times New Roman" w:hAnsi="Times New Roman" w:cs="Times New Roman"/>
          <w:sz w:val="24"/>
          <w:szCs w:val="24"/>
        </w:rPr>
        <w:t xml:space="preserve"> persons per other multi-person household were </w:t>
      </w:r>
      <w:r w:rsidR="00EE01D2" w:rsidRPr="006B4F05">
        <w:rPr>
          <w:rFonts w:ascii="Times New Roman" w:hAnsi="Times New Roman" w:cs="Times New Roman"/>
          <w:sz w:val="24"/>
          <w:szCs w:val="24"/>
        </w:rPr>
        <w:t>assumed to follow the SNZ projections to 2</w:t>
      </w:r>
      <w:r w:rsidR="00EE01D2">
        <w:rPr>
          <w:rFonts w:ascii="Times New Roman" w:hAnsi="Times New Roman" w:cs="Times New Roman"/>
          <w:sz w:val="24"/>
          <w:szCs w:val="24"/>
        </w:rPr>
        <w:t>038, then held constant from 2038 through until 2068.</w:t>
      </w:r>
    </w:p>
    <w:p w14:paraId="7FA9836D" w14:textId="77777777" w:rsidR="00EE01D2" w:rsidRDefault="00C75061" w:rsidP="00C7506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Separate family and household projections were created corresponding to each of the low-variant, medium-variant, and high-variant population projections. Each family and household projection used the same projected LATRs and other assumptions.</w:t>
      </w:r>
    </w:p>
    <w:p w14:paraId="2523F5B8" w14:textId="77777777" w:rsidR="00985CC8" w:rsidRPr="006B4F05" w:rsidRDefault="00985CC8" w:rsidP="00985CC8">
      <w:pPr>
        <w:spacing w:line="360" w:lineRule="auto"/>
        <w:jc w:val="both"/>
        <w:rPr>
          <w:rFonts w:ascii="Times New Roman" w:hAnsi="Times New Roman" w:cs="Times New Roman"/>
          <w:sz w:val="24"/>
          <w:szCs w:val="24"/>
        </w:rPr>
      </w:pPr>
    </w:p>
    <w:p w14:paraId="6F9656E7" w14:textId="77777777" w:rsidR="00BE1420" w:rsidRPr="006B4F05" w:rsidRDefault="00BE1420" w:rsidP="00671757">
      <w:pPr>
        <w:spacing w:line="360" w:lineRule="auto"/>
        <w:jc w:val="both"/>
        <w:rPr>
          <w:rFonts w:ascii="Times New Roman" w:hAnsi="Times New Roman" w:cs="Times New Roman"/>
          <w:i/>
          <w:sz w:val="24"/>
          <w:szCs w:val="24"/>
        </w:rPr>
      </w:pPr>
      <w:r w:rsidRPr="008C4851">
        <w:rPr>
          <w:rFonts w:ascii="Times New Roman" w:hAnsi="Times New Roman" w:cs="Times New Roman"/>
          <w:i/>
          <w:sz w:val="24"/>
          <w:szCs w:val="24"/>
        </w:rPr>
        <w:t>2.</w:t>
      </w:r>
      <w:r w:rsidR="00671757" w:rsidRPr="008C4851">
        <w:rPr>
          <w:rFonts w:ascii="Times New Roman" w:hAnsi="Times New Roman" w:cs="Times New Roman"/>
          <w:i/>
          <w:sz w:val="24"/>
          <w:szCs w:val="24"/>
        </w:rPr>
        <w:t>11</w:t>
      </w:r>
      <w:r w:rsidRPr="008C4851">
        <w:rPr>
          <w:rFonts w:ascii="Times New Roman" w:hAnsi="Times New Roman" w:cs="Times New Roman"/>
          <w:i/>
          <w:sz w:val="24"/>
          <w:szCs w:val="24"/>
        </w:rPr>
        <w:t xml:space="preserve"> Labour Force Projection </w:t>
      </w:r>
      <w:r w:rsidR="008C4851" w:rsidRPr="008C4851">
        <w:rPr>
          <w:rFonts w:ascii="Times New Roman" w:hAnsi="Times New Roman" w:cs="Times New Roman"/>
          <w:i/>
          <w:sz w:val="24"/>
          <w:szCs w:val="24"/>
        </w:rPr>
        <w:t xml:space="preserve">Methods and </w:t>
      </w:r>
      <w:r w:rsidRPr="008C4851">
        <w:rPr>
          <w:rFonts w:ascii="Times New Roman" w:hAnsi="Times New Roman" w:cs="Times New Roman"/>
          <w:i/>
          <w:sz w:val="24"/>
          <w:szCs w:val="24"/>
        </w:rPr>
        <w:t>Assumptions</w:t>
      </w:r>
    </w:p>
    <w:p w14:paraId="7590CB8F" w14:textId="77777777" w:rsidR="00AB1DD3" w:rsidRPr="006B4F05" w:rsidRDefault="00BE1420" w:rsidP="00910976">
      <w:pPr>
        <w:spacing w:line="360" w:lineRule="auto"/>
        <w:jc w:val="both"/>
        <w:rPr>
          <w:rFonts w:ascii="Times New Roman" w:hAnsi="Times New Roman" w:cs="Times New Roman"/>
          <w:sz w:val="24"/>
          <w:szCs w:val="24"/>
        </w:rPr>
      </w:pPr>
      <w:r w:rsidRPr="006B4F05">
        <w:rPr>
          <w:rFonts w:ascii="Times New Roman" w:hAnsi="Times New Roman" w:cs="Times New Roman"/>
          <w:sz w:val="24"/>
          <w:szCs w:val="24"/>
        </w:rPr>
        <w:t xml:space="preserve">The Labour Force projections were obtained by applying age- and sex-specific assumptions about future trends in labour force participation rates (LFPR) to the population projections (see Cameron </w:t>
      </w:r>
      <w:r w:rsidRPr="006B4F05">
        <w:rPr>
          <w:rFonts w:ascii="Times New Roman" w:hAnsi="Times New Roman" w:cs="Times New Roman"/>
          <w:i/>
          <w:sz w:val="24"/>
          <w:szCs w:val="24"/>
        </w:rPr>
        <w:t>et al</w:t>
      </w:r>
      <w:r w:rsidRPr="006B4F05">
        <w:rPr>
          <w:rFonts w:ascii="Times New Roman" w:hAnsi="Times New Roman" w:cs="Times New Roman"/>
          <w:sz w:val="24"/>
          <w:szCs w:val="24"/>
        </w:rPr>
        <w:t xml:space="preserve">., 2007). Following Bryant </w:t>
      </w:r>
      <w:r w:rsidRPr="006B4F05">
        <w:rPr>
          <w:rFonts w:ascii="Times New Roman" w:hAnsi="Times New Roman" w:cs="Times New Roman"/>
          <w:i/>
          <w:sz w:val="24"/>
          <w:szCs w:val="24"/>
        </w:rPr>
        <w:t>et al</w:t>
      </w:r>
      <w:r w:rsidRPr="006B4F05">
        <w:rPr>
          <w:rFonts w:ascii="Times New Roman" w:hAnsi="Times New Roman" w:cs="Times New Roman"/>
          <w:sz w:val="24"/>
          <w:szCs w:val="24"/>
        </w:rPr>
        <w:t>. (2004)</w:t>
      </w:r>
      <w:r w:rsidR="0068577C" w:rsidRPr="006B4F05">
        <w:rPr>
          <w:rFonts w:ascii="Times New Roman" w:hAnsi="Times New Roman" w:cs="Times New Roman"/>
          <w:sz w:val="24"/>
          <w:szCs w:val="24"/>
        </w:rPr>
        <w:t xml:space="preserve"> and </w:t>
      </w:r>
      <w:r w:rsidR="00910976">
        <w:rPr>
          <w:rFonts w:ascii="Times New Roman" w:hAnsi="Times New Roman" w:cs="Times New Roman"/>
          <w:sz w:val="24"/>
          <w:szCs w:val="24"/>
        </w:rPr>
        <w:t xml:space="preserve">Jackson </w:t>
      </w:r>
      <w:r w:rsidR="00910976">
        <w:rPr>
          <w:rFonts w:ascii="Times New Roman" w:hAnsi="Times New Roman" w:cs="Times New Roman"/>
          <w:i/>
          <w:iCs/>
          <w:sz w:val="24"/>
          <w:szCs w:val="24"/>
        </w:rPr>
        <w:t>et al</w:t>
      </w:r>
      <w:r w:rsidR="00910976">
        <w:rPr>
          <w:rFonts w:ascii="Times New Roman" w:hAnsi="Times New Roman" w:cs="Times New Roman"/>
          <w:sz w:val="24"/>
          <w:szCs w:val="24"/>
        </w:rPr>
        <w:t>. (2014b</w:t>
      </w:r>
      <w:r w:rsidR="0068577C" w:rsidRPr="006B4F05">
        <w:rPr>
          <w:rFonts w:ascii="Times New Roman" w:hAnsi="Times New Roman" w:cs="Times New Roman"/>
          <w:sz w:val="24"/>
          <w:szCs w:val="24"/>
        </w:rPr>
        <w:t>)</w:t>
      </w:r>
      <w:r w:rsidRPr="006B4F05">
        <w:rPr>
          <w:rFonts w:ascii="Times New Roman" w:hAnsi="Times New Roman" w:cs="Times New Roman"/>
          <w:sz w:val="24"/>
          <w:szCs w:val="24"/>
        </w:rPr>
        <w:t>, we assumed</w:t>
      </w:r>
      <w:r w:rsidR="001B2DD7" w:rsidRPr="006B4F05">
        <w:rPr>
          <w:rFonts w:ascii="Times New Roman" w:hAnsi="Times New Roman" w:cs="Times New Roman"/>
          <w:sz w:val="24"/>
          <w:szCs w:val="24"/>
        </w:rPr>
        <w:t xml:space="preserve"> three long-run trends in labour force participation would continue into the future, specifically we assumed that: (1)</w:t>
      </w:r>
      <w:r w:rsidRPr="006B4F05">
        <w:rPr>
          <w:rFonts w:ascii="Times New Roman" w:hAnsi="Times New Roman" w:cs="Times New Roman"/>
          <w:sz w:val="24"/>
          <w:szCs w:val="24"/>
        </w:rPr>
        <w:t xml:space="preserve"> age- and sex-specific participation rates increase in a linear fashion to 20</w:t>
      </w:r>
      <w:r w:rsidR="008C4851">
        <w:rPr>
          <w:rFonts w:ascii="Times New Roman" w:hAnsi="Times New Roman" w:cs="Times New Roman"/>
          <w:sz w:val="24"/>
          <w:szCs w:val="24"/>
        </w:rPr>
        <w:t>43</w:t>
      </w:r>
      <w:r w:rsidRPr="006B4F05">
        <w:rPr>
          <w:rFonts w:ascii="Times New Roman" w:hAnsi="Times New Roman" w:cs="Times New Roman"/>
          <w:sz w:val="24"/>
          <w:szCs w:val="24"/>
        </w:rPr>
        <w:t xml:space="preserve"> before stabilising</w:t>
      </w:r>
      <w:r w:rsidR="001B2DD7" w:rsidRPr="006B4F05">
        <w:rPr>
          <w:rFonts w:ascii="Times New Roman" w:hAnsi="Times New Roman" w:cs="Times New Roman"/>
          <w:sz w:val="24"/>
          <w:szCs w:val="24"/>
        </w:rPr>
        <w:t xml:space="preserve"> and remaining constant thereafter; (2) the labour force participation of prime age women increases over a twenty year period (201</w:t>
      </w:r>
      <w:r w:rsidR="008C4851">
        <w:rPr>
          <w:rFonts w:ascii="Times New Roman" w:hAnsi="Times New Roman" w:cs="Times New Roman"/>
          <w:sz w:val="24"/>
          <w:szCs w:val="24"/>
        </w:rPr>
        <w:t>8-2043</w:t>
      </w:r>
      <w:r w:rsidR="001B2DD7" w:rsidRPr="006B4F05">
        <w:rPr>
          <w:rFonts w:ascii="Times New Roman" w:hAnsi="Times New Roman" w:cs="Times New Roman"/>
          <w:sz w:val="24"/>
          <w:szCs w:val="24"/>
        </w:rPr>
        <w:t>) so that half of the age-specific gender gap in labour force participation in 2013 is closed by 20</w:t>
      </w:r>
      <w:r w:rsidR="008C4851">
        <w:rPr>
          <w:rFonts w:ascii="Times New Roman" w:hAnsi="Times New Roman" w:cs="Times New Roman"/>
          <w:sz w:val="24"/>
          <w:szCs w:val="24"/>
        </w:rPr>
        <w:t>4</w:t>
      </w:r>
      <w:r w:rsidR="001B2DD7" w:rsidRPr="006B4F05">
        <w:rPr>
          <w:rFonts w:ascii="Times New Roman" w:hAnsi="Times New Roman" w:cs="Times New Roman"/>
          <w:sz w:val="24"/>
          <w:szCs w:val="24"/>
        </w:rPr>
        <w:t>3 (i.e. if the difference in labour force participation rates between the genders in a particular age group wa</w:t>
      </w:r>
      <w:r w:rsidR="008C4851">
        <w:rPr>
          <w:rFonts w:ascii="Times New Roman" w:hAnsi="Times New Roman" w:cs="Times New Roman"/>
          <w:sz w:val="24"/>
          <w:szCs w:val="24"/>
        </w:rPr>
        <w:t>s six percentage points in 2018</w:t>
      </w:r>
      <w:r w:rsidR="001B2DD7" w:rsidRPr="006B4F05">
        <w:rPr>
          <w:rFonts w:ascii="Times New Roman" w:hAnsi="Times New Roman" w:cs="Times New Roman"/>
          <w:sz w:val="24"/>
          <w:szCs w:val="24"/>
        </w:rPr>
        <w:t>, we assume that the gap would have closed to three percentage points by 20</w:t>
      </w:r>
      <w:r w:rsidR="008C4851">
        <w:rPr>
          <w:rFonts w:ascii="Times New Roman" w:hAnsi="Times New Roman" w:cs="Times New Roman"/>
          <w:sz w:val="24"/>
          <w:szCs w:val="24"/>
        </w:rPr>
        <w:t>4</w:t>
      </w:r>
      <w:r w:rsidR="001B2DD7" w:rsidRPr="006B4F05">
        <w:rPr>
          <w:rFonts w:ascii="Times New Roman" w:hAnsi="Times New Roman" w:cs="Times New Roman"/>
          <w:sz w:val="24"/>
          <w:szCs w:val="24"/>
        </w:rPr>
        <w:t xml:space="preserve">3); and (3) </w:t>
      </w:r>
      <w:r w:rsidR="00AB1DD3" w:rsidRPr="006B4F05">
        <w:rPr>
          <w:rFonts w:ascii="Times New Roman" w:hAnsi="Times New Roman" w:cs="Times New Roman"/>
          <w:sz w:val="24"/>
          <w:szCs w:val="24"/>
        </w:rPr>
        <w:t>current increases in labour force participation rates amongst older workers continue out to 20</w:t>
      </w:r>
      <w:r w:rsidR="008C4851">
        <w:rPr>
          <w:rFonts w:ascii="Times New Roman" w:hAnsi="Times New Roman" w:cs="Times New Roman"/>
          <w:sz w:val="24"/>
          <w:szCs w:val="24"/>
        </w:rPr>
        <w:t>4</w:t>
      </w:r>
      <w:r w:rsidR="00AB1DD3" w:rsidRPr="006B4F05">
        <w:rPr>
          <w:rFonts w:ascii="Times New Roman" w:hAnsi="Times New Roman" w:cs="Times New Roman"/>
          <w:sz w:val="24"/>
          <w:szCs w:val="24"/>
        </w:rPr>
        <w:t>3 before stabilising.</w:t>
      </w:r>
    </w:p>
    <w:p w14:paraId="4EDE1FAA" w14:textId="77777777" w:rsidR="00F92BC4" w:rsidRDefault="00AB1DD3" w:rsidP="00910976">
      <w:pPr>
        <w:spacing w:line="360" w:lineRule="auto"/>
        <w:jc w:val="both"/>
        <w:rPr>
          <w:rFonts w:ascii="Times New Roman" w:hAnsi="Times New Roman" w:cs="Times New Roman"/>
          <w:sz w:val="24"/>
          <w:szCs w:val="24"/>
        </w:rPr>
      </w:pPr>
      <w:r w:rsidRPr="006B4F05">
        <w:rPr>
          <w:rFonts w:ascii="Times New Roman" w:hAnsi="Times New Roman" w:cs="Times New Roman"/>
          <w:sz w:val="24"/>
          <w:szCs w:val="24"/>
        </w:rPr>
        <w:t>In the case of the latter assumption, we essentia</w:t>
      </w:r>
      <w:r w:rsidR="009B47F4">
        <w:rPr>
          <w:rFonts w:ascii="Times New Roman" w:hAnsi="Times New Roman" w:cs="Times New Roman"/>
          <w:sz w:val="24"/>
          <w:szCs w:val="24"/>
        </w:rPr>
        <w:t>lly assume that over the twenty-</w:t>
      </w:r>
      <w:r w:rsidRPr="006B4F05">
        <w:rPr>
          <w:rFonts w:ascii="Times New Roman" w:hAnsi="Times New Roman" w:cs="Times New Roman"/>
          <w:sz w:val="24"/>
          <w:szCs w:val="24"/>
        </w:rPr>
        <w:t>year period 201</w:t>
      </w:r>
      <w:r w:rsidR="008C4851">
        <w:rPr>
          <w:rFonts w:ascii="Times New Roman" w:hAnsi="Times New Roman" w:cs="Times New Roman"/>
          <w:sz w:val="24"/>
          <w:szCs w:val="24"/>
        </w:rPr>
        <w:t>8</w:t>
      </w:r>
      <w:r w:rsidRPr="006B4F05">
        <w:rPr>
          <w:rFonts w:ascii="Times New Roman" w:hAnsi="Times New Roman" w:cs="Times New Roman"/>
          <w:sz w:val="24"/>
          <w:szCs w:val="24"/>
        </w:rPr>
        <w:t>-20</w:t>
      </w:r>
      <w:r w:rsidR="008C4851">
        <w:rPr>
          <w:rFonts w:ascii="Times New Roman" w:hAnsi="Times New Roman" w:cs="Times New Roman"/>
          <w:sz w:val="24"/>
          <w:szCs w:val="24"/>
        </w:rPr>
        <w:t>4</w:t>
      </w:r>
      <w:r w:rsidRPr="006B4F05">
        <w:rPr>
          <w:rFonts w:ascii="Times New Roman" w:hAnsi="Times New Roman" w:cs="Times New Roman"/>
          <w:sz w:val="24"/>
          <w:szCs w:val="24"/>
        </w:rPr>
        <w:t>3 the labour force participation rate profile of those older than the age group in which peak labour force participation occurs</w:t>
      </w:r>
      <w:r w:rsidR="008C4851">
        <w:rPr>
          <w:rFonts w:ascii="Times New Roman" w:hAnsi="Times New Roman" w:cs="Times New Roman"/>
          <w:sz w:val="24"/>
          <w:szCs w:val="24"/>
        </w:rPr>
        <w:t xml:space="preserve"> ages by five years, e.g. in 204</w:t>
      </w:r>
      <w:r w:rsidRPr="006B4F05">
        <w:rPr>
          <w:rFonts w:ascii="Times New Roman" w:hAnsi="Times New Roman" w:cs="Times New Roman"/>
          <w:sz w:val="24"/>
          <w:szCs w:val="24"/>
        </w:rPr>
        <w:t>3 the labour force participation rates of 50-54 year olds will be equal to the participation rates of 45-49 year olds in 201</w:t>
      </w:r>
      <w:r w:rsidR="008C4851">
        <w:rPr>
          <w:rFonts w:ascii="Times New Roman" w:hAnsi="Times New Roman" w:cs="Times New Roman"/>
          <w:sz w:val="24"/>
          <w:szCs w:val="24"/>
        </w:rPr>
        <w:t>8</w:t>
      </w:r>
      <w:r w:rsidRPr="006B4F05">
        <w:rPr>
          <w:rFonts w:ascii="Times New Roman" w:hAnsi="Times New Roman" w:cs="Times New Roman"/>
          <w:sz w:val="24"/>
          <w:szCs w:val="24"/>
        </w:rPr>
        <w:t xml:space="preserve">. In instances where this would result in a fall in the age specific participation rate the higher (previous) rate is used. Similarly, in applying the second assumption (on changes in the labour force participation of women), if the female labour force participation rate was higher than the male labour force participation rate in any age group the higher </w:t>
      </w:r>
      <w:r w:rsidR="003B2FD3" w:rsidRPr="006B4F05">
        <w:rPr>
          <w:rFonts w:ascii="Times New Roman" w:hAnsi="Times New Roman" w:cs="Times New Roman"/>
          <w:sz w:val="24"/>
          <w:szCs w:val="24"/>
        </w:rPr>
        <w:t>rate</w:t>
      </w:r>
      <w:r w:rsidRPr="006B4F05">
        <w:rPr>
          <w:rFonts w:ascii="Times New Roman" w:hAnsi="Times New Roman" w:cs="Times New Roman"/>
          <w:sz w:val="24"/>
          <w:szCs w:val="24"/>
        </w:rPr>
        <w:t xml:space="preserve"> was used. This ensured that the labour force participation rate of women did not fall in any age group.</w:t>
      </w:r>
      <w:r w:rsidR="008C4851">
        <w:rPr>
          <w:rFonts w:ascii="Times New Roman" w:hAnsi="Times New Roman" w:cs="Times New Roman"/>
          <w:sz w:val="24"/>
          <w:szCs w:val="24"/>
        </w:rPr>
        <w:t xml:space="preserve"> </w:t>
      </w:r>
      <w:r w:rsidR="00F92BC4" w:rsidRPr="006B4F05">
        <w:rPr>
          <w:rFonts w:ascii="Times New Roman" w:hAnsi="Times New Roman" w:cs="Times New Roman"/>
          <w:sz w:val="24"/>
          <w:szCs w:val="24"/>
        </w:rPr>
        <w:t xml:space="preserve">The effect of considering these three assumptions separately can be seen in </w:t>
      </w:r>
      <w:r w:rsidR="008C4851">
        <w:rPr>
          <w:rFonts w:ascii="Times New Roman" w:hAnsi="Times New Roman" w:cs="Times New Roman"/>
          <w:sz w:val="24"/>
          <w:szCs w:val="24"/>
        </w:rPr>
        <w:t>earlier</w:t>
      </w:r>
      <w:r w:rsidR="00F92BC4" w:rsidRPr="006B4F05">
        <w:rPr>
          <w:rFonts w:ascii="Times New Roman" w:hAnsi="Times New Roman" w:cs="Times New Roman"/>
          <w:sz w:val="24"/>
          <w:szCs w:val="24"/>
        </w:rPr>
        <w:t xml:space="preserve"> projections (Jackson </w:t>
      </w:r>
      <w:r w:rsidR="00F92BC4" w:rsidRPr="006B4F05">
        <w:rPr>
          <w:rFonts w:ascii="Times New Roman" w:hAnsi="Times New Roman" w:cs="Times New Roman"/>
          <w:i/>
          <w:sz w:val="24"/>
          <w:szCs w:val="24"/>
        </w:rPr>
        <w:t>et al</w:t>
      </w:r>
      <w:r w:rsidR="00F92BC4" w:rsidRPr="006B4F05">
        <w:rPr>
          <w:rFonts w:ascii="Times New Roman" w:hAnsi="Times New Roman" w:cs="Times New Roman"/>
          <w:sz w:val="24"/>
          <w:szCs w:val="24"/>
        </w:rPr>
        <w:t xml:space="preserve">., </w:t>
      </w:r>
      <w:r w:rsidR="00910976">
        <w:rPr>
          <w:rFonts w:ascii="Times New Roman" w:hAnsi="Times New Roman" w:cs="Times New Roman"/>
          <w:sz w:val="24"/>
          <w:szCs w:val="24"/>
        </w:rPr>
        <w:t>2014b</w:t>
      </w:r>
      <w:r w:rsidR="00F92BC4" w:rsidRPr="006B4F05">
        <w:rPr>
          <w:rFonts w:ascii="Times New Roman" w:hAnsi="Times New Roman" w:cs="Times New Roman"/>
          <w:sz w:val="24"/>
          <w:szCs w:val="24"/>
        </w:rPr>
        <w:t>).</w:t>
      </w:r>
    </w:p>
    <w:p w14:paraId="3A719A32" w14:textId="77777777" w:rsidR="008C4851" w:rsidRDefault="008C4851" w:rsidP="008C48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Separate labour force projections were created corresponding to each of the low-variant, medium-variant, and high-variant population projections. Each labour force projection used </w:t>
      </w:r>
      <w:r>
        <w:rPr>
          <w:rFonts w:ascii="Times New Roman" w:hAnsi="Times New Roman" w:cs="Times New Roman"/>
          <w:sz w:val="24"/>
          <w:szCs w:val="24"/>
        </w:rPr>
        <w:lastRenderedPageBreak/>
        <w:t>the same projected labour force participation rates, which correspond to Scenario 4 in Jackson et al. (2014</w:t>
      </w:r>
      <w:r w:rsidR="00910976">
        <w:rPr>
          <w:rFonts w:ascii="Times New Roman" w:hAnsi="Times New Roman" w:cs="Times New Roman"/>
          <w:sz w:val="24"/>
          <w:szCs w:val="24"/>
        </w:rPr>
        <w:t>b</w:t>
      </w:r>
      <w:r>
        <w:rPr>
          <w:rFonts w:ascii="Times New Roman" w:hAnsi="Times New Roman" w:cs="Times New Roman"/>
          <w:sz w:val="24"/>
          <w:szCs w:val="24"/>
        </w:rPr>
        <w:t>).</w:t>
      </w:r>
    </w:p>
    <w:p w14:paraId="3335370C" w14:textId="77777777" w:rsidR="00BE1420" w:rsidRPr="006B4F05" w:rsidRDefault="00BE1420" w:rsidP="001343CA">
      <w:pPr>
        <w:spacing w:line="360" w:lineRule="auto"/>
        <w:jc w:val="both"/>
        <w:rPr>
          <w:rFonts w:ascii="Times New Roman" w:hAnsi="Times New Roman" w:cs="Times New Roman"/>
          <w:sz w:val="24"/>
          <w:szCs w:val="24"/>
        </w:rPr>
      </w:pPr>
    </w:p>
    <w:bookmarkEnd w:id="0"/>
    <w:p w14:paraId="1B8D9AC2" w14:textId="77777777" w:rsidR="00007355" w:rsidRPr="006B4F05" w:rsidRDefault="00007355" w:rsidP="00D2486A">
      <w:pPr>
        <w:jc w:val="both"/>
        <w:rPr>
          <w:rFonts w:asciiTheme="majorBidi" w:hAnsiTheme="majorBidi"/>
          <w:sz w:val="30"/>
          <w:szCs w:val="30"/>
        </w:rPr>
      </w:pPr>
    </w:p>
    <w:p w14:paraId="2276BE53" w14:textId="77777777" w:rsidR="00C90F17" w:rsidRDefault="00C90F17" w:rsidP="00B87AB1">
      <w:pPr>
        <w:pStyle w:val="Heading1"/>
        <w:spacing w:line="360" w:lineRule="auto"/>
        <w:jc w:val="both"/>
        <w:rPr>
          <w:rFonts w:asciiTheme="majorBidi" w:hAnsiTheme="majorBidi"/>
          <w:color w:val="auto"/>
          <w:sz w:val="26"/>
          <w:szCs w:val="26"/>
        </w:rPr>
      </w:pPr>
      <w:bookmarkStart w:id="1" w:name="_Toc320189413"/>
      <w:r>
        <w:rPr>
          <w:rFonts w:asciiTheme="majorBidi" w:hAnsiTheme="majorBidi"/>
          <w:color w:val="auto"/>
          <w:sz w:val="26"/>
          <w:szCs w:val="26"/>
        </w:rPr>
        <w:br w:type="page"/>
      </w:r>
    </w:p>
    <w:p w14:paraId="40703252" w14:textId="77777777" w:rsidR="00B87AB1" w:rsidRPr="006B4F05" w:rsidRDefault="00B87AB1" w:rsidP="00B87AB1">
      <w:pPr>
        <w:pStyle w:val="Heading1"/>
        <w:spacing w:line="360" w:lineRule="auto"/>
        <w:jc w:val="both"/>
        <w:rPr>
          <w:rFonts w:asciiTheme="majorBidi" w:hAnsiTheme="majorBidi"/>
          <w:color w:val="auto"/>
          <w:sz w:val="26"/>
          <w:szCs w:val="26"/>
        </w:rPr>
      </w:pPr>
      <w:r w:rsidRPr="006B4F05">
        <w:rPr>
          <w:rFonts w:asciiTheme="majorBidi" w:hAnsiTheme="majorBidi"/>
          <w:color w:val="auto"/>
          <w:sz w:val="26"/>
          <w:szCs w:val="26"/>
        </w:rPr>
        <w:lastRenderedPageBreak/>
        <w:t>Reference</w:t>
      </w:r>
      <w:bookmarkEnd w:id="1"/>
      <w:r w:rsidR="00FC21A1" w:rsidRPr="006B4F05">
        <w:rPr>
          <w:rFonts w:asciiTheme="majorBidi" w:hAnsiTheme="majorBidi"/>
          <w:color w:val="auto"/>
          <w:sz w:val="26"/>
          <w:szCs w:val="26"/>
        </w:rPr>
        <w:t>s</w:t>
      </w:r>
    </w:p>
    <w:p w14:paraId="2B474829" w14:textId="77777777" w:rsidR="002F33D8" w:rsidRDefault="002F33D8" w:rsidP="002F33D8">
      <w:pPr>
        <w:pStyle w:val="Bibliography"/>
        <w:spacing w:before="240" w:after="240"/>
        <w:ind w:left="720" w:hanging="720"/>
        <w:rPr>
          <w:rFonts w:asciiTheme="majorBidi" w:hAnsiTheme="majorBidi" w:cstheme="majorBidi"/>
          <w:noProof/>
          <w:sz w:val="24"/>
          <w:szCs w:val="24"/>
          <w:lang w:val="en-US"/>
        </w:rPr>
      </w:pPr>
      <w:r w:rsidRPr="002F33D8">
        <w:rPr>
          <w:rFonts w:asciiTheme="majorBidi" w:hAnsiTheme="majorBidi" w:cstheme="majorBidi"/>
          <w:noProof/>
          <w:sz w:val="24"/>
          <w:szCs w:val="24"/>
          <w:lang w:val="en-US"/>
        </w:rPr>
        <w:t>Alho</w:t>
      </w:r>
      <w:r>
        <w:rPr>
          <w:rFonts w:asciiTheme="majorBidi" w:hAnsiTheme="majorBidi" w:cstheme="majorBidi"/>
          <w:noProof/>
          <w:sz w:val="24"/>
          <w:szCs w:val="24"/>
          <w:lang w:val="en-US"/>
        </w:rPr>
        <w:t>,</w:t>
      </w:r>
      <w:r w:rsidRPr="002F33D8">
        <w:rPr>
          <w:rFonts w:asciiTheme="majorBidi" w:hAnsiTheme="majorBidi" w:cstheme="majorBidi"/>
          <w:noProof/>
          <w:sz w:val="24"/>
          <w:szCs w:val="24"/>
          <w:lang w:val="en-US"/>
        </w:rPr>
        <w:t xml:space="preserve"> J</w:t>
      </w:r>
      <w:r>
        <w:rPr>
          <w:rFonts w:asciiTheme="majorBidi" w:hAnsiTheme="majorBidi" w:cstheme="majorBidi"/>
          <w:noProof/>
          <w:sz w:val="24"/>
          <w:szCs w:val="24"/>
          <w:lang w:val="en-US"/>
        </w:rPr>
        <w:t>.</w:t>
      </w:r>
      <w:r w:rsidRPr="002F33D8">
        <w:rPr>
          <w:rFonts w:asciiTheme="majorBidi" w:hAnsiTheme="majorBidi" w:cstheme="majorBidi"/>
          <w:noProof/>
          <w:sz w:val="24"/>
          <w:szCs w:val="24"/>
          <w:lang w:val="en-US"/>
        </w:rPr>
        <w:t>, Cruijsen</w:t>
      </w:r>
      <w:r>
        <w:rPr>
          <w:rFonts w:asciiTheme="majorBidi" w:hAnsiTheme="majorBidi" w:cstheme="majorBidi"/>
          <w:noProof/>
          <w:sz w:val="24"/>
          <w:szCs w:val="24"/>
          <w:lang w:val="en-US"/>
        </w:rPr>
        <w:t>,</w:t>
      </w:r>
      <w:r w:rsidRPr="002F33D8">
        <w:rPr>
          <w:rFonts w:asciiTheme="majorBidi" w:hAnsiTheme="majorBidi" w:cstheme="majorBidi"/>
          <w:noProof/>
          <w:sz w:val="24"/>
          <w:szCs w:val="24"/>
          <w:lang w:val="en-US"/>
        </w:rPr>
        <w:t xml:space="preserve"> H</w:t>
      </w:r>
      <w:r>
        <w:rPr>
          <w:rFonts w:asciiTheme="majorBidi" w:hAnsiTheme="majorBidi" w:cstheme="majorBidi"/>
          <w:noProof/>
          <w:sz w:val="24"/>
          <w:szCs w:val="24"/>
          <w:lang w:val="en-US"/>
        </w:rPr>
        <w:t>.,</w:t>
      </w:r>
      <w:r w:rsidRPr="002F33D8">
        <w:rPr>
          <w:rFonts w:asciiTheme="majorBidi" w:hAnsiTheme="majorBidi" w:cstheme="majorBidi"/>
          <w:noProof/>
          <w:sz w:val="24"/>
          <w:szCs w:val="24"/>
          <w:lang w:val="en-US"/>
        </w:rPr>
        <w:t xml:space="preserve"> </w:t>
      </w:r>
      <w:r>
        <w:rPr>
          <w:rFonts w:asciiTheme="majorBidi" w:hAnsiTheme="majorBidi" w:cstheme="majorBidi"/>
          <w:noProof/>
          <w:sz w:val="24"/>
          <w:szCs w:val="24"/>
          <w:lang w:val="en-US"/>
        </w:rPr>
        <w:t xml:space="preserve">and </w:t>
      </w:r>
      <w:r w:rsidRPr="002F33D8">
        <w:rPr>
          <w:rFonts w:asciiTheme="majorBidi" w:hAnsiTheme="majorBidi" w:cstheme="majorBidi"/>
          <w:noProof/>
          <w:sz w:val="24"/>
          <w:szCs w:val="24"/>
          <w:lang w:val="en-US"/>
        </w:rPr>
        <w:t>Keilman</w:t>
      </w:r>
      <w:r>
        <w:rPr>
          <w:rFonts w:asciiTheme="majorBidi" w:hAnsiTheme="majorBidi" w:cstheme="majorBidi"/>
          <w:noProof/>
          <w:sz w:val="24"/>
          <w:szCs w:val="24"/>
          <w:lang w:val="en-US"/>
        </w:rPr>
        <w:t>,</w:t>
      </w:r>
      <w:r w:rsidRPr="002F33D8">
        <w:rPr>
          <w:rFonts w:asciiTheme="majorBidi" w:hAnsiTheme="majorBidi" w:cstheme="majorBidi"/>
          <w:noProof/>
          <w:sz w:val="24"/>
          <w:szCs w:val="24"/>
          <w:lang w:val="en-US"/>
        </w:rPr>
        <w:t xml:space="preserve"> N</w:t>
      </w:r>
      <w:r>
        <w:rPr>
          <w:rFonts w:asciiTheme="majorBidi" w:hAnsiTheme="majorBidi" w:cstheme="majorBidi"/>
          <w:noProof/>
          <w:sz w:val="24"/>
          <w:szCs w:val="24"/>
          <w:lang w:val="en-US"/>
        </w:rPr>
        <w:t>.</w:t>
      </w:r>
      <w:r w:rsidRPr="002F33D8">
        <w:rPr>
          <w:rFonts w:asciiTheme="majorBidi" w:hAnsiTheme="majorBidi" w:cstheme="majorBidi"/>
          <w:noProof/>
          <w:sz w:val="24"/>
          <w:szCs w:val="24"/>
          <w:lang w:val="en-US"/>
        </w:rPr>
        <w:t xml:space="preserve"> (2008)</w:t>
      </w:r>
      <w:r>
        <w:rPr>
          <w:rFonts w:asciiTheme="majorBidi" w:hAnsiTheme="majorBidi" w:cstheme="majorBidi"/>
          <w:noProof/>
          <w:sz w:val="24"/>
          <w:szCs w:val="24"/>
          <w:lang w:val="en-US"/>
        </w:rPr>
        <w:t>.</w:t>
      </w:r>
      <w:r w:rsidRPr="002F33D8">
        <w:rPr>
          <w:rFonts w:asciiTheme="majorBidi" w:hAnsiTheme="majorBidi" w:cstheme="majorBidi"/>
          <w:noProof/>
          <w:sz w:val="24"/>
          <w:szCs w:val="24"/>
          <w:lang w:val="en-US"/>
        </w:rPr>
        <w:t xml:space="preserve"> Empirically based specificat</w:t>
      </w:r>
      <w:r>
        <w:rPr>
          <w:rFonts w:asciiTheme="majorBidi" w:hAnsiTheme="majorBidi" w:cstheme="majorBidi"/>
          <w:noProof/>
          <w:sz w:val="24"/>
          <w:szCs w:val="24"/>
          <w:lang w:val="en-US"/>
        </w:rPr>
        <w:t>ion of forecast uncertainty. In</w:t>
      </w:r>
      <w:r w:rsidRPr="002F33D8">
        <w:rPr>
          <w:rFonts w:asciiTheme="majorBidi" w:hAnsiTheme="majorBidi" w:cstheme="majorBidi"/>
          <w:noProof/>
          <w:sz w:val="24"/>
          <w:szCs w:val="24"/>
          <w:lang w:val="en-US"/>
        </w:rPr>
        <w:t xml:space="preserve"> Alho</w:t>
      </w:r>
      <w:r>
        <w:rPr>
          <w:rFonts w:asciiTheme="majorBidi" w:hAnsiTheme="majorBidi" w:cstheme="majorBidi"/>
          <w:noProof/>
          <w:sz w:val="24"/>
          <w:szCs w:val="24"/>
          <w:lang w:val="en-US"/>
        </w:rPr>
        <w:t>,</w:t>
      </w:r>
      <w:r w:rsidRPr="002F33D8">
        <w:rPr>
          <w:rFonts w:asciiTheme="majorBidi" w:hAnsiTheme="majorBidi" w:cstheme="majorBidi"/>
          <w:noProof/>
          <w:sz w:val="24"/>
          <w:szCs w:val="24"/>
          <w:lang w:val="en-US"/>
        </w:rPr>
        <w:t xml:space="preserve"> J</w:t>
      </w:r>
      <w:r>
        <w:rPr>
          <w:rFonts w:asciiTheme="majorBidi" w:hAnsiTheme="majorBidi" w:cstheme="majorBidi"/>
          <w:noProof/>
          <w:sz w:val="24"/>
          <w:szCs w:val="24"/>
          <w:lang w:val="en-US"/>
        </w:rPr>
        <w:t>.</w:t>
      </w:r>
      <w:r w:rsidRPr="002F33D8">
        <w:rPr>
          <w:rFonts w:asciiTheme="majorBidi" w:hAnsiTheme="majorBidi" w:cstheme="majorBidi"/>
          <w:noProof/>
          <w:sz w:val="24"/>
          <w:szCs w:val="24"/>
          <w:lang w:val="en-US"/>
        </w:rPr>
        <w:t>, Hougaard Jensen</w:t>
      </w:r>
      <w:r>
        <w:rPr>
          <w:rFonts w:asciiTheme="majorBidi" w:hAnsiTheme="majorBidi" w:cstheme="majorBidi"/>
          <w:noProof/>
          <w:sz w:val="24"/>
          <w:szCs w:val="24"/>
          <w:lang w:val="en-US"/>
        </w:rPr>
        <w:t>,</w:t>
      </w:r>
      <w:r w:rsidRPr="002F33D8">
        <w:rPr>
          <w:rFonts w:asciiTheme="majorBidi" w:hAnsiTheme="majorBidi" w:cstheme="majorBidi"/>
          <w:noProof/>
          <w:sz w:val="24"/>
          <w:szCs w:val="24"/>
          <w:lang w:val="en-US"/>
        </w:rPr>
        <w:t xml:space="preserve"> S</w:t>
      </w:r>
      <w:r>
        <w:rPr>
          <w:rFonts w:asciiTheme="majorBidi" w:hAnsiTheme="majorBidi" w:cstheme="majorBidi"/>
          <w:noProof/>
          <w:sz w:val="24"/>
          <w:szCs w:val="24"/>
          <w:lang w:val="en-US"/>
        </w:rPr>
        <w:t>.</w:t>
      </w:r>
      <w:r w:rsidRPr="002F33D8">
        <w:rPr>
          <w:rFonts w:asciiTheme="majorBidi" w:hAnsiTheme="majorBidi" w:cstheme="majorBidi"/>
          <w:noProof/>
          <w:sz w:val="24"/>
          <w:szCs w:val="24"/>
          <w:lang w:val="en-US"/>
        </w:rPr>
        <w:t>,</w:t>
      </w:r>
      <w:r>
        <w:rPr>
          <w:rFonts w:asciiTheme="majorBidi" w:hAnsiTheme="majorBidi" w:cstheme="majorBidi"/>
          <w:noProof/>
          <w:sz w:val="24"/>
          <w:szCs w:val="24"/>
          <w:lang w:val="en-US"/>
        </w:rPr>
        <w:t xml:space="preserve"> and</w:t>
      </w:r>
      <w:r w:rsidRPr="002F33D8">
        <w:rPr>
          <w:rFonts w:asciiTheme="majorBidi" w:hAnsiTheme="majorBidi" w:cstheme="majorBidi"/>
          <w:noProof/>
          <w:sz w:val="24"/>
          <w:szCs w:val="24"/>
          <w:lang w:val="en-US"/>
        </w:rPr>
        <w:t xml:space="preserve"> Lassila</w:t>
      </w:r>
      <w:r>
        <w:rPr>
          <w:rFonts w:asciiTheme="majorBidi" w:hAnsiTheme="majorBidi" w:cstheme="majorBidi"/>
          <w:noProof/>
          <w:sz w:val="24"/>
          <w:szCs w:val="24"/>
          <w:lang w:val="en-US"/>
        </w:rPr>
        <w:t>,</w:t>
      </w:r>
      <w:r w:rsidRPr="002F33D8">
        <w:rPr>
          <w:rFonts w:asciiTheme="majorBidi" w:hAnsiTheme="majorBidi" w:cstheme="majorBidi"/>
          <w:noProof/>
          <w:sz w:val="24"/>
          <w:szCs w:val="24"/>
          <w:lang w:val="en-US"/>
        </w:rPr>
        <w:t xml:space="preserve"> J</w:t>
      </w:r>
      <w:r>
        <w:rPr>
          <w:rFonts w:asciiTheme="majorBidi" w:hAnsiTheme="majorBidi" w:cstheme="majorBidi"/>
          <w:noProof/>
          <w:sz w:val="24"/>
          <w:szCs w:val="24"/>
          <w:lang w:val="en-US"/>
        </w:rPr>
        <w:t>.</w:t>
      </w:r>
      <w:r w:rsidRPr="002F33D8">
        <w:rPr>
          <w:rFonts w:asciiTheme="majorBidi" w:hAnsiTheme="majorBidi" w:cstheme="majorBidi"/>
          <w:noProof/>
          <w:sz w:val="24"/>
          <w:szCs w:val="24"/>
          <w:lang w:val="en-US"/>
        </w:rPr>
        <w:t xml:space="preserve"> (eds)</w:t>
      </w:r>
      <w:r>
        <w:rPr>
          <w:rFonts w:asciiTheme="majorBidi" w:hAnsiTheme="majorBidi" w:cstheme="majorBidi"/>
          <w:noProof/>
          <w:sz w:val="24"/>
          <w:szCs w:val="24"/>
          <w:lang w:val="en-US"/>
        </w:rPr>
        <w:t>.</w:t>
      </w:r>
      <w:r w:rsidRPr="002F33D8">
        <w:rPr>
          <w:rFonts w:asciiTheme="majorBidi" w:hAnsiTheme="majorBidi" w:cstheme="majorBidi"/>
          <w:noProof/>
          <w:sz w:val="24"/>
          <w:szCs w:val="24"/>
          <w:lang w:val="en-US"/>
        </w:rPr>
        <w:t xml:space="preserve"> </w:t>
      </w:r>
      <w:r w:rsidRPr="002F33D8">
        <w:rPr>
          <w:rFonts w:asciiTheme="majorBidi" w:hAnsiTheme="majorBidi" w:cstheme="majorBidi"/>
          <w:i/>
          <w:iCs/>
          <w:noProof/>
          <w:sz w:val="24"/>
          <w:szCs w:val="24"/>
          <w:lang w:val="en-US"/>
        </w:rPr>
        <w:t>Uncertain demographics and fiscal sustainability</w:t>
      </w:r>
      <w:r w:rsidRPr="002F33D8">
        <w:rPr>
          <w:rFonts w:asciiTheme="majorBidi" w:hAnsiTheme="majorBidi" w:cstheme="majorBidi"/>
          <w:noProof/>
          <w:sz w:val="24"/>
          <w:szCs w:val="24"/>
          <w:lang w:val="en-US"/>
        </w:rPr>
        <w:t>. Cambridge</w:t>
      </w:r>
      <w:r>
        <w:rPr>
          <w:rFonts w:asciiTheme="majorBidi" w:hAnsiTheme="majorBidi" w:cstheme="majorBidi"/>
          <w:noProof/>
          <w:sz w:val="24"/>
          <w:szCs w:val="24"/>
          <w:lang w:val="en-US"/>
        </w:rPr>
        <w:t>:</w:t>
      </w:r>
      <w:r w:rsidRPr="002F33D8">
        <w:rPr>
          <w:rFonts w:asciiTheme="majorBidi" w:hAnsiTheme="majorBidi" w:cstheme="majorBidi"/>
          <w:noProof/>
          <w:sz w:val="24"/>
          <w:szCs w:val="24"/>
          <w:lang w:val="en-US"/>
        </w:rPr>
        <w:t xml:space="preserve"> </w:t>
      </w:r>
      <w:r>
        <w:rPr>
          <w:rFonts w:asciiTheme="majorBidi" w:hAnsiTheme="majorBidi" w:cstheme="majorBidi"/>
          <w:noProof/>
          <w:sz w:val="24"/>
          <w:szCs w:val="24"/>
          <w:lang w:val="en-US"/>
        </w:rPr>
        <w:t>Cambridge University Press</w:t>
      </w:r>
      <w:r w:rsidRPr="002F33D8">
        <w:rPr>
          <w:rFonts w:asciiTheme="majorBidi" w:hAnsiTheme="majorBidi" w:cstheme="majorBidi"/>
          <w:noProof/>
          <w:sz w:val="24"/>
          <w:szCs w:val="24"/>
          <w:lang w:val="en-US"/>
        </w:rPr>
        <w:t>, p</w:t>
      </w:r>
      <w:r>
        <w:rPr>
          <w:rFonts w:asciiTheme="majorBidi" w:hAnsiTheme="majorBidi" w:cstheme="majorBidi"/>
          <w:noProof/>
          <w:sz w:val="24"/>
          <w:szCs w:val="24"/>
          <w:lang w:val="en-US"/>
        </w:rPr>
        <w:t>p.</w:t>
      </w:r>
      <w:r w:rsidRPr="002F33D8">
        <w:rPr>
          <w:rFonts w:asciiTheme="majorBidi" w:hAnsiTheme="majorBidi" w:cstheme="majorBidi"/>
          <w:noProof/>
          <w:sz w:val="24"/>
          <w:szCs w:val="24"/>
          <w:lang w:val="en-US"/>
        </w:rPr>
        <w:t xml:space="preserve"> 34-54</w:t>
      </w:r>
      <w:r>
        <w:rPr>
          <w:rFonts w:asciiTheme="majorBidi" w:hAnsiTheme="majorBidi" w:cstheme="majorBidi"/>
          <w:noProof/>
          <w:sz w:val="24"/>
          <w:szCs w:val="24"/>
          <w:lang w:val="en-US"/>
        </w:rPr>
        <w:t>.</w:t>
      </w:r>
    </w:p>
    <w:p w14:paraId="68A81499" w14:textId="77777777" w:rsidR="007D2A9B" w:rsidRDefault="007D2A9B" w:rsidP="007D2A9B">
      <w:pPr>
        <w:pStyle w:val="Bibliography"/>
        <w:spacing w:before="240" w:after="240"/>
        <w:ind w:left="720" w:hanging="720"/>
        <w:rPr>
          <w:rFonts w:asciiTheme="majorBidi" w:hAnsiTheme="majorBidi" w:cstheme="majorBidi"/>
          <w:noProof/>
          <w:sz w:val="24"/>
          <w:szCs w:val="24"/>
          <w:lang w:val="en-US"/>
        </w:rPr>
      </w:pPr>
      <w:r>
        <w:rPr>
          <w:rFonts w:asciiTheme="majorBidi" w:hAnsiTheme="majorBidi" w:cstheme="majorBidi"/>
          <w:noProof/>
          <w:sz w:val="24"/>
          <w:szCs w:val="24"/>
          <w:lang w:val="en-US"/>
        </w:rPr>
        <w:t>Balmford, B., Annan, J.D., Hargreaves, J.C., Altoè, M., and</w:t>
      </w:r>
      <w:r w:rsidRPr="007D2A9B">
        <w:rPr>
          <w:rFonts w:asciiTheme="majorBidi" w:hAnsiTheme="majorBidi" w:cstheme="majorBidi"/>
          <w:noProof/>
          <w:sz w:val="24"/>
          <w:szCs w:val="24"/>
          <w:lang w:val="en-US"/>
        </w:rPr>
        <w:t xml:space="preserve"> Bateman, I.J. </w:t>
      </w:r>
      <w:r>
        <w:rPr>
          <w:rFonts w:asciiTheme="majorBidi" w:hAnsiTheme="majorBidi" w:cstheme="majorBidi"/>
          <w:noProof/>
          <w:sz w:val="24"/>
          <w:szCs w:val="24"/>
          <w:lang w:val="en-US"/>
        </w:rPr>
        <w:t xml:space="preserve">(2020). </w:t>
      </w:r>
      <w:r w:rsidRPr="007D2A9B">
        <w:rPr>
          <w:rFonts w:asciiTheme="majorBidi" w:hAnsiTheme="majorBidi" w:cstheme="majorBidi"/>
          <w:noProof/>
          <w:sz w:val="24"/>
          <w:szCs w:val="24"/>
          <w:lang w:val="en-US"/>
        </w:rPr>
        <w:t>Cross country comparisons of COVID-19:</w:t>
      </w:r>
      <w:r>
        <w:rPr>
          <w:rFonts w:asciiTheme="majorBidi" w:hAnsiTheme="majorBidi" w:cstheme="majorBidi"/>
          <w:noProof/>
          <w:sz w:val="24"/>
          <w:szCs w:val="24"/>
          <w:lang w:val="en-US"/>
        </w:rPr>
        <w:t xml:space="preserve"> </w:t>
      </w:r>
      <w:r w:rsidRPr="007D2A9B">
        <w:rPr>
          <w:rFonts w:asciiTheme="majorBidi" w:hAnsiTheme="majorBidi" w:cstheme="majorBidi"/>
          <w:noProof/>
          <w:sz w:val="24"/>
          <w:szCs w:val="24"/>
          <w:lang w:val="en-US"/>
        </w:rPr>
        <w:t xml:space="preserve">Policy, politics and the price of life. </w:t>
      </w:r>
      <w:r w:rsidRPr="007D2A9B">
        <w:rPr>
          <w:rFonts w:asciiTheme="majorBidi" w:hAnsiTheme="majorBidi" w:cstheme="majorBidi"/>
          <w:i/>
          <w:iCs/>
          <w:noProof/>
          <w:sz w:val="24"/>
          <w:szCs w:val="24"/>
          <w:lang w:val="en-US"/>
        </w:rPr>
        <w:t>Environmental and Resource Economics</w:t>
      </w:r>
      <w:r>
        <w:rPr>
          <w:rFonts w:asciiTheme="majorBidi" w:hAnsiTheme="majorBidi" w:cstheme="majorBidi"/>
          <w:noProof/>
          <w:sz w:val="24"/>
          <w:szCs w:val="24"/>
          <w:lang w:val="en-US"/>
        </w:rPr>
        <w:t>, 76, 525-</w:t>
      </w:r>
      <w:r w:rsidRPr="007D2A9B">
        <w:rPr>
          <w:rFonts w:asciiTheme="majorBidi" w:hAnsiTheme="majorBidi" w:cstheme="majorBidi"/>
          <w:noProof/>
          <w:sz w:val="24"/>
          <w:szCs w:val="24"/>
          <w:lang w:val="en-US"/>
        </w:rPr>
        <w:t>551</w:t>
      </w:r>
      <w:r>
        <w:rPr>
          <w:rFonts w:asciiTheme="majorBidi" w:hAnsiTheme="majorBidi" w:cstheme="majorBidi"/>
          <w:noProof/>
          <w:sz w:val="24"/>
          <w:szCs w:val="24"/>
          <w:lang w:val="en-US"/>
        </w:rPr>
        <w:t>.</w:t>
      </w:r>
    </w:p>
    <w:p w14:paraId="132B2B45" w14:textId="77777777" w:rsidR="005F6A74" w:rsidRDefault="00066C2B" w:rsidP="007D2A9B">
      <w:pPr>
        <w:pStyle w:val="Bibliography"/>
        <w:spacing w:before="240" w:after="240"/>
        <w:ind w:left="720" w:hanging="720"/>
        <w:rPr>
          <w:rFonts w:asciiTheme="majorBidi" w:hAnsiTheme="majorBidi" w:cstheme="majorBidi"/>
          <w:noProof/>
          <w:sz w:val="24"/>
          <w:szCs w:val="24"/>
          <w:lang w:val="en-US"/>
        </w:rPr>
      </w:pPr>
      <w:r w:rsidRPr="00C90F17">
        <w:rPr>
          <w:rFonts w:asciiTheme="majorBidi" w:hAnsiTheme="majorBidi" w:cstheme="majorBidi"/>
          <w:noProof/>
          <w:sz w:val="24"/>
          <w:szCs w:val="24"/>
          <w:lang w:val="en-US"/>
        </w:rPr>
        <w:t xml:space="preserve">Bryant, J., Jacobsen, V., Bell, M., and Garrett, D. (2004). Labour force participation and GDP in New Zealand, </w:t>
      </w:r>
      <w:r w:rsidRPr="00C90F17">
        <w:rPr>
          <w:rFonts w:asciiTheme="majorBidi" w:hAnsiTheme="majorBidi" w:cstheme="majorBidi"/>
          <w:i/>
          <w:noProof/>
          <w:sz w:val="24"/>
          <w:szCs w:val="24"/>
          <w:lang w:val="en-US"/>
        </w:rPr>
        <w:t>Treasury Working Paper No. 04/07</w:t>
      </w:r>
      <w:r w:rsidRPr="00C90F17">
        <w:rPr>
          <w:rFonts w:asciiTheme="majorBidi" w:hAnsiTheme="majorBidi" w:cstheme="majorBidi"/>
          <w:noProof/>
          <w:sz w:val="24"/>
          <w:szCs w:val="24"/>
          <w:lang w:val="en-US"/>
        </w:rPr>
        <w:t>. Wellington: Tre</w:t>
      </w:r>
      <w:r w:rsidR="005F6A74" w:rsidRPr="00C90F17">
        <w:rPr>
          <w:rFonts w:asciiTheme="majorBidi" w:hAnsiTheme="majorBidi" w:cstheme="majorBidi"/>
          <w:noProof/>
          <w:sz w:val="24"/>
          <w:szCs w:val="24"/>
          <w:lang w:val="en-US"/>
        </w:rPr>
        <w:t>asury.</w:t>
      </w:r>
    </w:p>
    <w:p w14:paraId="7A27A8F1" w14:textId="77777777" w:rsidR="005F6A74" w:rsidRPr="005F6A74" w:rsidRDefault="005F6A74" w:rsidP="005F6A74">
      <w:pPr>
        <w:pStyle w:val="Bibliography"/>
        <w:spacing w:before="240" w:after="240"/>
        <w:ind w:left="720" w:hanging="720"/>
        <w:rPr>
          <w:rFonts w:asciiTheme="majorBidi" w:hAnsiTheme="majorBidi" w:cstheme="majorBidi"/>
          <w:noProof/>
          <w:sz w:val="24"/>
          <w:szCs w:val="24"/>
          <w:highlight w:val="yellow"/>
          <w:lang w:val="en-US"/>
        </w:rPr>
      </w:pPr>
      <w:r w:rsidRPr="005F6A74">
        <w:rPr>
          <w:rFonts w:asciiTheme="majorBidi" w:hAnsiTheme="majorBidi" w:cstheme="majorBidi"/>
          <w:sz w:val="24"/>
          <w:szCs w:val="24"/>
        </w:rPr>
        <w:t>Cameron, M.P. (2020</w:t>
      </w:r>
      <w:r>
        <w:rPr>
          <w:rFonts w:asciiTheme="majorBidi" w:hAnsiTheme="majorBidi" w:cstheme="majorBidi"/>
          <w:sz w:val="24"/>
          <w:szCs w:val="24"/>
        </w:rPr>
        <w:t>a</w:t>
      </w:r>
      <w:r w:rsidRPr="005F6A74">
        <w:rPr>
          <w:rFonts w:asciiTheme="majorBidi" w:hAnsiTheme="majorBidi" w:cstheme="majorBidi"/>
          <w:sz w:val="24"/>
          <w:szCs w:val="24"/>
        </w:rPr>
        <w:t xml:space="preserve">). </w:t>
      </w:r>
      <w:r w:rsidRPr="005F6A74">
        <w:rPr>
          <w:rFonts w:asciiTheme="majorBidi" w:hAnsiTheme="majorBidi" w:cstheme="majorBidi"/>
          <w:i/>
          <w:sz w:val="24"/>
          <w:szCs w:val="24"/>
        </w:rPr>
        <w:t>2020 Update of Population, and Family and Household Projections for Hamilton City, 2013-2063</w:t>
      </w:r>
      <w:r w:rsidRPr="005F6A74">
        <w:rPr>
          <w:rFonts w:asciiTheme="majorBidi" w:hAnsiTheme="majorBidi" w:cstheme="majorBidi"/>
          <w:sz w:val="24"/>
          <w:szCs w:val="24"/>
        </w:rPr>
        <w:t>, research report commissioned by Hamilton City Council, Hamilton: University of Waikato.</w:t>
      </w:r>
    </w:p>
    <w:p w14:paraId="5E890C33" w14:textId="77777777" w:rsidR="005F6A74" w:rsidRDefault="005F6A74" w:rsidP="005F6A74">
      <w:pPr>
        <w:pStyle w:val="Bibliography"/>
        <w:spacing w:before="240" w:after="240"/>
        <w:ind w:left="720" w:hanging="720"/>
        <w:rPr>
          <w:rFonts w:asciiTheme="majorBidi" w:hAnsiTheme="majorBidi" w:cstheme="majorBidi"/>
          <w:sz w:val="24"/>
          <w:szCs w:val="24"/>
        </w:rPr>
      </w:pPr>
      <w:r w:rsidRPr="005F6A74">
        <w:rPr>
          <w:rFonts w:asciiTheme="majorBidi" w:hAnsiTheme="majorBidi" w:cstheme="majorBidi"/>
          <w:sz w:val="24"/>
          <w:szCs w:val="24"/>
        </w:rPr>
        <w:t>Cameron, M.P. (2020</w:t>
      </w:r>
      <w:r>
        <w:rPr>
          <w:rFonts w:asciiTheme="majorBidi" w:hAnsiTheme="majorBidi" w:cstheme="majorBidi"/>
          <w:sz w:val="24"/>
          <w:szCs w:val="24"/>
        </w:rPr>
        <w:t>b</w:t>
      </w:r>
      <w:r w:rsidRPr="005F6A74">
        <w:rPr>
          <w:rFonts w:asciiTheme="majorBidi" w:hAnsiTheme="majorBidi" w:cstheme="majorBidi"/>
          <w:sz w:val="24"/>
          <w:szCs w:val="24"/>
        </w:rPr>
        <w:t xml:space="preserve">). </w:t>
      </w:r>
      <w:r w:rsidRPr="005F6A74">
        <w:rPr>
          <w:rFonts w:asciiTheme="majorBidi" w:hAnsiTheme="majorBidi" w:cstheme="majorBidi"/>
          <w:i/>
          <w:sz w:val="24"/>
          <w:szCs w:val="24"/>
        </w:rPr>
        <w:t>2020 Update of Population, and Family and Household Projections for Waikato District, 2013-2063</w:t>
      </w:r>
      <w:r w:rsidRPr="005F6A74">
        <w:rPr>
          <w:rFonts w:asciiTheme="majorBidi" w:hAnsiTheme="majorBidi" w:cstheme="majorBidi"/>
          <w:sz w:val="24"/>
          <w:szCs w:val="24"/>
        </w:rPr>
        <w:t>, research report commissioned by Waikato District Council, Hamilton: University of Waikato.</w:t>
      </w:r>
    </w:p>
    <w:p w14:paraId="4AA5FB09" w14:textId="77777777" w:rsidR="005F6A74" w:rsidRDefault="005F6A74" w:rsidP="005F6A74">
      <w:pPr>
        <w:pStyle w:val="Bibliography"/>
        <w:spacing w:before="240" w:after="240"/>
        <w:ind w:left="720" w:hanging="720"/>
        <w:rPr>
          <w:rFonts w:asciiTheme="majorBidi" w:hAnsiTheme="majorBidi" w:cstheme="majorBidi"/>
          <w:sz w:val="24"/>
          <w:szCs w:val="24"/>
        </w:rPr>
      </w:pPr>
      <w:r w:rsidRPr="005F6A74">
        <w:rPr>
          <w:rFonts w:asciiTheme="majorBidi" w:hAnsiTheme="majorBidi" w:cstheme="majorBidi"/>
          <w:sz w:val="24"/>
          <w:szCs w:val="24"/>
        </w:rPr>
        <w:t>Cameron, M.P. (2020</w:t>
      </w:r>
      <w:r>
        <w:rPr>
          <w:rFonts w:asciiTheme="majorBidi" w:hAnsiTheme="majorBidi" w:cstheme="majorBidi"/>
          <w:sz w:val="24"/>
          <w:szCs w:val="24"/>
        </w:rPr>
        <w:t>c</w:t>
      </w:r>
      <w:r w:rsidRPr="005F6A74">
        <w:rPr>
          <w:rFonts w:asciiTheme="majorBidi" w:hAnsiTheme="majorBidi" w:cstheme="majorBidi"/>
          <w:sz w:val="24"/>
          <w:szCs w:val="24"/>
        </w:rPr>
        <w:t xml:space="preserve">). </w:t>
      </w:r>
      <w:r w:rsidRPr="005F6A74">
        <w:rPr>
          <w:rFonts w:asciiTheme="majorBidi" w:hAnsiTheme="majorBidi" w:cstheme="majorBidi"/>
          <w:i/>
          <w:sz w:val="24"/>
          <w:szCs w:val="24"/>
        </w:rPr>
        <w:t xml:space="preserve">2020 Update of Population, and Family and Household Projections for </w:t>
      </w:r>
      <w:proofErr w:type="spellStart"/>
      <w:r w:rsidRPr="005F6A74">
        <w:rPr>
          <w:rFonts w:asciiTheme="majorBidi" w:hAnsiTheme="majorBidi" w:cstheme="majorBidi"/>
          <w:i/>
          <w:sz w:val="24"/>
          <w:szCs w:val="24"/>
        </w:rPr>
        <w:t>Waipā</w:t>
      </w:r>
      <w:proofErr w:type="spellEnd"/>
      <w:r w:rsidRPr="005F6A74">
        <w:rPr>
          <w:rFonts w:asciiTheme="majorBidi" w:hAnsiTheme="majorBidi" w:cstheme="majorBidi"/>
          <w:i/>
          <w:sz w:val="24"/>
          <w:szCs w:val="24"/>
        </w:rPr>
        <w:t xml:space="preserve"> District, 2013-2063</w:t>
      </w:r>
      <w:r w:rsidRPr="005F6A74">
        <w:rPr>
          <w:rFonts w:asciiTheme="majorBidi" w:hAnsiTheme="majorBidi" w:cstheme="majorBidi"/>
          <w:sz w:val="24"/>
          <w:szCs w:val="24"/>
        </w:rPr>
        <w:t xml:space="preserve">, research report commissioned by </w:t>
      </w:r>
      <w:proofErr w:type="spellStart"/>
      <w:r w:rsidRPr="005F6A74">
        <w:rPr>
          <w:rFonts w:asciiTheme="majorBidi" w:hAnsiTheme="majorBidi" w:cstheme="majorBidi"/>
          <w:sz w:val="24"/>
          <w:szCs w:val="24"/>
        </w:rPr>
        <w:t>Waipā</w:t>
      </w:r>
      <w:proofErr w:type="spellEnd"/>
      <w:r w:rsidRPr="005F6A74">
        <w:rPr>
          <w:rFonts w:asciiTheme="majorBidi" w:hAnsiTheme="majorBidi" w:cstheme="majorBidi"/>
          <w:sz w:val="24"/>
          <w:szCs w:val="24"/>
        </w:rPr>
        <w:t xml:space="preserve"> District Council, Hamilton: University of Waikato.</w:t>
      </w:r>
    </w:p>
    <w:p w14:paraId="5C9C616F" w14:textId="77777777" w:rsidR="005F6A74" w:rsidRPr="005F6A74" w:rsidRDefault="005F6A74" w:rsidP="005F6A74">
      <w:pPr>
        <w:pStyle w:val="Bibliography"/>
        <w:spacing w:before="240" w:after="240"/>
        <w:ind w:left="720" w:hanging="720"/>
        <w:rPr>
          <w:rFonts w:asciiTheme="majorBidi" w:hAnsiTheme="majorBidi" w:cstheme="majorBidi"/>
          <w:sz w:val="24"/>
          <w:szCs w:val="24"/>
        </w:rPr>
      </w:pPr>
      <w:r w:rsidRPr="005F6A74">
        <w:rPr>
          <w:rFonts w:asciiTheme="majorBidi" w:hAnsiTheme="majorBidi" w:cstheme="majorBidi"/>
          <w:sz w:val="24"/>
          <w:szCs w:val="24"/>
        </w:rPr>
        <w:t>Cameron, M.P., and Cochrane, W. (2014</w:t>
      </w:r>
      <w:r>
        <w:rPr>
          <w:rFonts w:asciiTheme="majorBidi" w:hAnsiTheme="majorBidi" w:cstheme="majorBidi"/>
          <w:sz w:val="24"/>
          <w:szCs w:val="24"/>
        </w:rPr>
        <w:t>a</w:t>
      </w:r>
      <w:r w:rsidRPr="005F6A74">
        <w:rPr>
          <w:rFonts w:asciiTheme="majorBidi" w:hAnsiTheme="majorBidi" w:cstheme="majorBidi"/>
          <w:sz w:val="24"/>
          <w:szCs w:val="24"/>
        </w:rPr>
        <w:t xml:space="preserve">). </w:t>
      </w:r>
      <w:r w:rsidRPr="005F6A74">
        <w:rPr>
          <w:rFonts w:asciiTheme="majorBidi" w:hAnsiTheme="majorBidi" w:cstheme="majorBidi"/>
          <w:i/>
          <w:sz w:val="24"/>
          <w:szCs w:val="24"/>
        </w:rPr>
        <w:t>Population, Household, and Labour Force Projections for the Waikato Region, 2013-2063</w:t>
      </w:r>
      <w:r w:rsidRPr="005F6A74">
        <w:rPr>
          <w:rFonts w:asciiTheme="majorBidi" w:hAnsiTheme="majorBidi" w:cstheme="majorBidi"/>
          <w:sz w:val="24"/>
          <w:szCs w:val="24"/>
        </w:rPr>
        <w:t>, research report commissioned by Waikato Regional Council, Hamilton: University of Waikato.</w:t>
      </w:r>
    </w:p>
    <w:p w14:paraId="7652BF01" w14:textId="77777777" w:rsidR="005F6A74" w:rsidRDefault="003E56D2" w:rsidP="005F6A74">
      <w:pPr>
        <w:pStyle w:val="Bibliography"/>
        <w:spacing w:before="240" w:after="240"/>
        <w:ind w:left="720" w:hanging="720"/>
        <w:rPr>
          <w:rFonts w:ascii="Times New Roman" w:hAnsi="Times New Roman" w:cs="Times New Roman"/>
          <w:sz w:val="24"/>
          <w:szCs w:val="24"/>
        </w:rPr>
      </w:pPr>
      <w:r w:rsidRPr="005F6A74">
        <w:rPr>
          <w:rFonts w:ascii="Times New Roman" w:hAnsi="Times New Roman" w:cs="Times New Roman"/>
          <w:sz w:val="24"/>
          <w:szCs w:val="24"/>
        </w:rPr>
        <w:t xml:space="preserve">Cameron, M.P., and Cochrane, W. (2015). </w:t>
      </w:r>
      <w:r w:rsidRPr="005F6A74">
        <w:rPr>
          <w:rFonts w:ascii="Times New Roman" w:hAnsi="Times New Roman" w:cs="Times New Roman"/>
          <w:i/>
          <w:sz w:val="24"/>
          <w:szCs w:val="24"/>
        </w:rPr>
        <w:t>Population, Household, and Labour Force Projections for the Waikato Region, 2013-2063 (2015 Update)</w:t>
      </w:r>
      <w:r w:rsidRPr="005F6A74">
        <w:rPr>
          <w:rFonts w:ascii="Times New Roman" w:hAnsi="Times New Roman" w:cs="Times New Roman"/>
          <w:sz w:val="24"/>
          <w:szCs w:val="24"/>
        </w:rPr>
        <w:t>, research report commissioned by Waikato Regional Council. Hamilton, New Zealand: University of Waikato.</w:t>
      </w:r>
    </w:p>
    <w:p w14:paraId="5F7687D7" w14:textId="77777777" w:rsidR="005F6A74" w:rsidRPr="005F6A74" w:rsidRDefault="005F6A74" w:rsidP="005F6A74">
      <w:pPr>
        <w:pStyle w:val="Bibliography"/>
        <w:spacing w:before="240" w:after="240"/>
        <w:ind w:left="720" w:hanging="720"/>
        <w:rPr>
          <w:rFonts w:asciiTheme="majorBidi" w:hAnsiTheme="majorBidi" w:cstheme="majorBidi"/>
          <w:sz w:val="24"/>
          <w:szCs w:val="24"/>
        </w:rPr>
      </w:pPr>
      <w:r w:rsidRPr="005F6A74">
        <w:rPr>
          <w:rFonts w:asciiTheme="majorBidi" w:hAnsiTheme="majorBidi" w:cstheme="majorBidi"/>
          <w:sz w:val="24"/>
          <w:szCs w:val="24"/>
        </w:rPr>
        <w:t xml:space="preserve">Cameron, M.P., and Cochrane, W. (2016). </w:t>
      </w:r>
      <w:r w:rsidRPr="005F6A74">
        <w:rPr>
          <w:rFonts w:asciiTheme="majorBidi" w:hAnsiTheme="majorBidi" w:cstheme="majorBidi"/>
          <w:i/>
          <w:sz w:val="24"/>
          <w:szCs w:val="24"/>
        </w:rPr>
        <w:t>2016 Update of Population, Family and Household, and Labour Force Projections for the Waikato Region, 2013-2063</w:t>
      </w:r>
      <w:r w:rsidRPr="005F6A74">
        <w:rPr>
          <w:rFonts w:asciiTheme="majorBidi" w:hAnsiTheme="majorBidi" w:cstheme="majorBidi"/>
          <w:sz w:val="24"/>
          <w:szCs w:val="24"/>
        </w:rPr>
        <w:t>, research report commissioned by Future Proof, Hamilton: University of Waikato.</w:t>
      </w:r>
    </w:p>
    <w:p w14:paraId="61463452" w14:textId="77777777" w:rsidR="002F7326" w:rsidRPr="004C55AF" w:rsidRDefault="002F7326" w:rsidP="002F7326">
      <w:pPr>
        <w:pStyle w:val="Bibliography"/>
        <w:spacing w:before="240" w:after="240"/>
        <w:ind w:left="720" w:hanging="720"/>
        <w:rPr>
          <w:rFonts w:asciiTheme="majorBidi" w:hAnsiTheme="majorBidi" w:cstheme="majorBidi"/>
          <w:noProof/>
          <w:sz w:val="24"/>
          <w:szCs w:val="24"/>
          <w:lang w:val="en-US"/>
        </w:rPr>
      </w:pPr>
      <w:r w:rsidRPr="004C55AF">
        <w:rPr>
          <w:rFonts w:asciiTheme="majorBidi" w:hAnsiTheme="majorBidi" w:cstheme="majorBidi"/>
          <w:noProof/>
          <w:sz w:val="24"/>
          <w:szCs w:val="24"/>
          <w:lang w:val="en-US"/>
        </w:rPr>
        <w:t xml:space="preserve">Cameron, M.P., and Cochrane, W. (2021 forthcoming). </w:t>
      </w:r>
      <w:r w:rsidRPr="004C55AF">
        <w:rPr>
          <w:rFonts w:asciiTheme="majorBidi" w:hAnsiTheme="majorBidi" w:cstheme="majorBidi"/>
          <w:i/>
          <w:noProof/>
          <w:sz w:val="24"/>
          <w:szCs w:val="24"/>
          <w:lang w:val="en-US"/>
        </w:rPr>
        <w:t>2018-base small-area population, family and household, and labour force projections for the Waikato Region 2018-2068</w:t>
      </w:r>
      <w:r w:rsidRPr="004C55AF">
        <w:rPr>
          <w:rFonts w:asciiTheme="majorBidi" w:hAnsiTheme="majorBidi" w:cstheme="majorBidi"/>
          <w:noProof/>
          <w:sz w:val="24"/>
          <w:szCs w:val="24"/>
          <w:lang w:val="en-US"/>
        </w:rPr>
        <w:t>, research report commissioned by the Waikato Regional Council. Hamilton, New Zealand: University of Waikato.</w:t>
      </w:r>
    </w:p>
    <w:p w14:paraId="5D52193C" w14:textId="77777777" w:rsidR="00066C2B" w:rsidRPr="005F6A74" w:rsidRDefault="00066C2B" w:rsidP="00EA76B3">
      <w:pPr>
        <w:pStyle w:val="Bibliography"/>
        <w:spacing w:before="240" w:after="240"/>
        <w:ind w:left="720" w:hanging="720"/>
        <w:rPr>
          <w:rFonts w:asciiTheme="majorBidi" w:hAnsiTheme="majorBidi" w:cstheme="majorBidi"/>
          <w:noProof/>
          <w:sz w:val="24"/>
          <w:szCs w:val="24"/>
          <w:lang w:val="en-US"/>
        </w:rPr>
      </w:pPr>
      <w:r w:rsidRPr="005F6A74">
        <w:rPr>
          <w:rFonts w:asciiTheme="majorBidi" w:hAnsiTheme="majorBidi" w:cstheme="majorBidi"/>
          <w:noProof/>
          <w:sz w:val="24"/>
          <w:szCs w:val="24"/>
          <w:lang w:val="en-US"/>
        </w:rPr>
        <w:lastRenderedPageBreak/>
        <w:t xml:space="preserve">Cameron, M. P., Cochrane, W., &amp; Poot, J. (2007). End-user informed demographic projections for Hamilton up to 2041, , </w:t>
      </w:r>
      <w:r w:rsidRPr="005F6A74">
        <w:rPr>
          <w:rFonts w:asciiTheme="majorBidi" w:hAnsiTheme="majorBidi" w:cstheme="majorBidi"/>
          <w:i/>
          <w:noProof/>
          <w:sz w:val="24"/>
          <w:szCs w:val="24"/>
          <w:lang w:val="en-US"/>
        </w:rPr>
        <w:t>PSC Discussion Paper No. 66</w:t>
      </w:r>
      <w:r w:rsidRPr="005F6A74">
        <w:rPr>
          <w:rFonts w:asciiTheme="majorBidi" w:hAnsiTheme="majorBidi" w:cstheme="majorBidi"/>
          <w:noProof/>
          <w:sz w:val="24"/>
          <w:szCs w:val="24"/>
          <w:lang w:val="en-US"/>
        </w:rPr>
        <w:t>. Hamilton, New Zealand: University of Waikato, Population Studies Centre.</w:t>
      </w:r>
    </w:p>
    <w:p w14:paraId="319EFEC5" w14:textId="77777777" w:rsidR="00066040" w:rsidRDefault="00066C2B" w:rsidP="00066040">
      <w:pPr>
        <w:pStyle w:val="Bibliography"/>
        <w:spacing w:before="240" w:after="240"/>
        <w:ind w:left="720" w:hanging="720"/>
        <w:rPr>
          <w:rFonts w:asciiTheme="majorBidi" w:hAnsiTheme="majorBidi" w:cstheme="majorBidi"/>
          <w:noProof/>
          <w:sz w:val="24"/>
          <w:szCs w:val="24"/>
          <w:lang w:val="en-US"/>
        </w:rPr>
      </w:pPr>
      <w:r w:rsidRPr="005F6A74">
        <w:rPr>
          <w:rFonts w:asciiTheme="majorBidi" w:hAnsiTheme="majorBidi" w:cstheme="majorBidi"/>
          <w:noProof/>
          <w:sz w:val="24"/>
          <w:szCs w:val="24"/>
          <w:lang w:val="en-US"/>
        </w:rPr>
        <w:t>Cameron, M.</w:t>
      </w:r>
      <w:r w:rsidR="00EA76B3" w:rsidRPr="005F6A74">
        <w:rPr>
          <w:rFonts w:asciiTheme="majorBidi" w:hAnsiTheme="majorBidi" w:cstheme="majorBidi"/>
          <w:noProof/>
          <w:sz w:val="24"/>
          <w:szCs w:val="24"/>
          <w:lang w:val="en-US"/>
        </w:rPr>
        <w:t xml:space="preserve">P., Cochrane, W., and Poot, J. (2008). </w:t>
      </w:r>
      <w:r w:rsidR="00EA76B3" w:rsidRPr="005F6A74">
        <w:rPr>
          <w:rFonts w:asciiTheme="majorBidi" w:hAnsiTheme="majorBidi" w:cstheme="majorBidi"/>
          <w:i/>
          <w:noProof/>
          <w:sz w:val="24"/>
          <w:szCs w:val="24"/>
          <w:lang w:val="en-US"/>
        </w:rPr>
        <w:t>Population projections until 2061 for Future Proof , - the Hamilton sub-regional growth strategy</w:t>
      </w:r>
      <w:r w:rsidR="00EA76B3" w:rsidRPr="005F6A74">
        <w:rPr>
          <w:rFonts w:asciiTheme="majorBidi" w:hAnsiTheme="majorBidi" w:cstheme="majorBidi"/>
          <w:noProof/>
          <w:sz w:val="24"/>
          <w:szCs w:val="24"/>
          <w:lang w:val="en-US"/>
        </w:rPr>
        <w:t>, research report commissioned by Hamilton City Council, Waikato District Council, and Waipa District Council. Hamilton, New Zealand: University of Waik</w:t>
      </w:r>
      <w:r w:rsidR="00066040">
        <w:rPr>
          <w:rFonts w:asciiTheme="majorBidi" w:hAnsiTheme="majorBidi" w:cstheme="majorBidi"/>
          <w:noProof/>
          <w:sz w:val="24"/>
          <w:szCs w:val="24"/>
          <w:lang w:val="en-US"/>
        </w:rPr>
        <w:t>ato, Population Studies Centre.</w:t>
      </w:r>
    </w:p>
    <w:p w14:paraId="3BA09B97" w14:textId="77777777" w:rsidR="00066040" w:rsidRPr="00066040" w:rsidRDefault="00066040" w:rsidP="00066040">
      <w:pPr>
        <w:pStyle w:val="Bibliography"/>
        <w:spacing w:before="240" w:after="240"/>
        <w:ind w:left="720" w:hanging="720"/>
        <w:rPr>
          <w:rFonts w:asciiTheme="majorBidi" w:hAnsiTheme="majorBidi" w:cstheme="majorBidi"/>
          <w:noProof/>
          <w:sz w:val="24"/>
          <w:szCs w:val="24"/>
          <w:lang w:val="en-US"/>
        </w:rPr>
      </w:pPr>
      <w:r w:rsidRPr="00066040">
        <w:rPr>
          <w:rFonts w:asciiTheme="majorBidi" w:hAnsiTheme="majorBidi" w:cstheme="majorBidi"/>
          <w:sz w:val="24"/>
          <w:szCs w:val="24"/>
        </w:rPr>
        <w:t xml:space="preserve">Cameron, M.P., Dunstan, K., and Cook, L. (2021). The development of uncertainty in national and subnational population projections: A New Zealand perspective. In Cochrane, W., </w:t>
      </w:r>
      <w:proofErr w:type="spellStart"/>
      <w:r w:rsidRPr="00066040">
        <w:rPr>
          <w:rFonts w:asciiTheme="majorBidi" w:hAnsiTheme="majorBidi" w:cstheme="majorBidi"/>
          <w:sz w:val="24"/>
          <w:szCs w:val="24"/>
        </w:rPr>
        <w:t>Alimi</w:t>
      </w:r>
      <w:proofErr w:type="spellEnd"/>
      <w:r w:rsidRPr="00066040">
        <w:rPr>
          <w:rFonts w:asciiTheme="majorBidi" w:hAnsiTheme="majorBidi" w:cstheme="majorBidi"/>
          <w:sz w:val="24"/>
          <w:szCs w:val="24"/>
        </w:rPr>
        <w:t xml:space="preserve">, O., and Cameron, M.P. (Eds.) </w:t>
      </w:r>
      <w:proofErr w:type="spellStart"/>
      <w:r w:rsidRPr="00066040">
        <w:rPr>
          <w:rFonts w:asciiTheme="majorBidi" w:hAnsiTheme="majorBidi" w:cstheme="majorBidi"/>
          <w:i/>
          <w:sz w:val="24"/>
          <w:szCs w:val="24"/>
        </w:rPr>
        <w:t>Labor</w:t>
      </w:r>
      <w:proofErr w:type="spellEnd"/>
      <w:r w:rsidRPr="00066040">
        <w:rPr>
          <w:rFonts w:asciiTheme="majorBidi" w:hAnsiTheme="majorBidi" w:cstheme="majorBidi"/>
          <w:i/>
          <w:sz w:val="24"/>
          <w:szCs w:val="24"/>
        </w:rPr>
        <w:t xml:space="preserve"> Markets, Migration, and Mobility: Essays in </w:t>
      </w:r>
      <w:proofErr w:type="spellStart"/>
      <w:r w:rsidRPr="00066040">
        <w:rPr>
          <w:rFonts w:asciiTheme="majorBidi" w:hAnsiTheme="majorBidi" w:cstheme="majorBidi"/>
          <w:i/>
          <w:sz w:val="24"/>
          <w:szCs w:val="24"/>
        </w:rPr>
        <w:t>Honor</w:t>
      </w:r>
      <w:proofErr w:type="spellEnd"/>
      <w:r w:rsidRPr="00066040">
        <w:rPr>
          <w:rFonts w:asciiTheme="majorBidi" w:hAnsiTheme="majorBidi" w:cstheme="majorBidi"/>
          <w:i/>
          <w:sz w:val="24"/>
          <w:szCs w:val="24"/>
        </w:rPr>
        <w:t xml:space="preserve"> of Jacques Poot,</w:t>
      </w:r>
      <w:r w:rsidRPr="00066040">
        <w:rPr>
          <w:rFonts w:asciiTheme="majorBidi" w:hAnsiTheme="majorBidi" w:cstheme="majorBidi"/>
          <w:sz w:val="24"/>
          <w:szCs w:val="24"/>
        </w:rPr>
        <w:t xml:space="preserve"> Singapore: Springer, pp. 197-217.</w:t>
      </w:r>
    </w:p>
    <w:p w14:paraId="1B7DC966" w14:textId="77777777" w:rsidR="00066C2B" w:rsidRPr="007D2A9B" w:rsidRDefault="00066C2B" w:rsidP="00066C2B">
      <w:pPr>
        <w:pStyle w:val="Bibliography"/>
        <w:spacing w:before="240" w:after="240"/>
        <w:ind w:left="720" w:hanging="720"/>
        <w:rPr>
          <w:rFonts w:asciiTheme="majorBidi" w:hAnsiTheme="majorBidi" w:cstheme="majorBidi"/>
          <w:noProof/>
          <w:sz w:val="24"/>
          <w:szCs w:val="24"/>
          <w:lang w:val="en-US"/>
        </w:rPr>
      </w:pPr>
      <w:r w:rsidRPr="007D2A9B">
        <w:rPr>
          <w:rFonts w:asciiTheme="majorBidi" w:hAnsiTheme="majorBidi" w:cstheme="majorBidi"/>
          <w:noProof/>
          <w:sz w:val="24"/>
          <w:szCs w:val="24"/>
          <w:lang w:val="en-US"/>
        </w:rPr>
        <w:t xml:space="preserve">Cameron, M.P., and Poot, J. (2010). A stochastic sub-national population projection methodology with an application to the Waikato Region of New Zealand, </w:t>
      </w:r>
      <w:r w:rsidRPr="007D2A9B">
        <w:rPr>
          <w:rFonts w:asciiTheme="majorBidi" w:hAnsiTheme="majorBidi" w:cstheme="majorBidi"/>
          <w:i/>
          <w:noProof/>
          <w:sz w:val="24"/>
          <w:szCs w:val="24"/>
          <w:lang w:val="en-US"/>
        </w:rPr>
        <w:t>PSC Discussion Paper No. 70</w:t>
      </w:r>
      <w:r w:rsidRPr="007D2A9B">
        <w:rPr>
          <w:rFonts w:asciiTheme="majorBidi" w:hAnsiTheme="majorBidi" w:cstheme="majorBidi"/>
          <w:noProof/>
          <w:sz w:val="24"/>
          <w:szCs w:val="24"/>
          <w:lang w:val="en-US"/>
        </w:rPr>
        <w:t xml:space="preserve">. Hamilton, New Zealand: University of Waikato, Population Studies Centre. </w:t>
      </w:r>
    </w:p>
    <w:p w14:paraId="43A403DA" w14:textId="77777777" w:rsidR="008F2CF9" w:rsidRDefault="00066C2B" w:rsidP="008F2CF9">
      <w:pPr>
        <w:pStyle w:val="Bibliography"/>
        <w:spacing w:before="240" w:after="240"/>
        <w:ind w:left="720" w:hanging="720"/>
        <w:rPr>
          <w:rFonts w:asciiTheme="majorBidi" w:hAnsiTheme="majorBidi" w:cstheme="majorBidi"/>
          <w:noProof/>
          <w:sz w:val="24"/>
          <w:szCs w:val="24"/>
          <w:lang w:val="en-US"/>
        </w:rPr>
      </w:pPr>
      <w:r w:rsidRPr="007D2A9B">
        <w:rPr>
          <w:rFonts w:asciiTheme="majorBidi" w:hAnsiTheme="majorBidi" w:cstheme="majorBidi"/>
          <w:noProof/>
          <w:sz w:val="24"/>
          <w:szCs w:val="24"/>
          <w:lang w:val="en-US"/>
        </w:rPr>
        <w:t xml:space="preserve">Cameron, M.P., and Poot, J. (2011). Lessons from stochastic small-area population projections: The case of Waikato subregions in New Zealand. </w:t>
      </w:r>
      <w:r w:rsidRPr="007D2A9B">
        <w:rPr>
          <w:rFonts w:asciiTheme="majorBidi" w:hAnsiTheme="majorBidi" w:cstheme="majorBidi"/>
          <w:i/>
          <w:noProof/>
          <w:sz w:val="24"/>
          <w:szCs w:val="24"/>
          <w:lang w:val="en-US"/>
        </w:rPr>
        <w:t>Journal of Population Research</w:t>
      </w:r>
      <w:r w:rsidRPr="007D2A9B">
        <w:rPr>
          <w:rFonts w:asciiTheme="majorBidi" w:hAnsiTheme="majorBidi" w:cstheme="majorBidi"/>
          <w:noProof/>
          <w:sz w:val="24"/>
          <w:szCs w:val="24"/>
          <w:lang w:val="en-US"/>
        </w:rPr>
        <w:t xml:space="preserve"> 28(2-3), 245-265.</w:t>
      </w:r>
    </w:p>
    <w:p w14:paraId="0634AC13" w14:textId="77777777" w:rsidR="008F2CF9" w:rsidRDefault="008F2CF9" w:rsidP="008F2CF9">
      <w:pPr>
        <w:pStyle w:val="Bibliography"/>
        <w:spacing w:before="240" w:after="240"/>
        <w:ind w:left="720" w:hanging="720"/>
        <w:rPr>
          <w:rFonts w:asciiTheme="majorBidi" w:hAnsiTheme="majorBidi" w:cstheme="majorBidi"/>
          <w:noProof/>
          <w:sz w:val="24"/>
          <w:szCs w:val="24"/>
          <w:lang w:val="en-US"/>
        </w:rPr>
      </w:pPr>
      <w:r w:rsidRPr="008F2CF9">
        <w:rPr>
          <w:rFonts w:asciiTheme="majorBidi" w:hAnsiTheme="majorBidi" w:cstheme="majorBidi"/>
          <w:noProof/>
          <w:sz w:val="24"/>
          <w:szCs w:val="24"/>
          <w:lang w:val="en-US"/>
        </w:rPr>
        <w:t xml:space="preserve">Cameron, M.P. and Poot, J. (2013). </w:t>
      </w:r>
      <w:r w:rsidRPr="008F2CF9">
        <w:rPr>
          <w:rFonts w:asciiTheme="majorBidi" w:hAnsiTheme="majorBidi" w:cstheme="majorBidi"/>
          <w:i/>
          <w:iCs/>
          <w:noProof/>
          <w:sz w:val="24"/>
          <w:szCs w:val="24"/>
          <w:lang w:val="en-US"/>
        </w:rPr>
        <w:t>Regional stochastic population projections in New Zealand: Prospect and challenges</w:t>
      </w:r>
      <w:r w:rsidRPr="008F2CF9">
        <w:rPr>
          <w:rFonts w:asciiTheme="majorBidi" w:hAnsiTheme="majorBidi" w:cstheme="majorBidi"/>
          <w:noProof/>
          <w:sz w:val="24"/>
          <w:szCs w:val="24"/>
          <w:lang w:val="en-US"/>
        </w:rPr>
        <w:t>, presented at the Pathways, Circuits and Crossroads Conference, Wellington, 21-22 October.</w:t>
      </w:r>
    </w:p>
    <w:p w14:paraId="2DB9FB44" w14:textId="77777777" w:rsidR="008F2CF9" w:rsidRPr="008F2CF9" w:rsidRDefault="008F2CF9" w:rsidP="008F2CF9">
      <w:pPr>
        <w:pStyle w:val="Bibliography"/>
        <w:spacing w:before="240" w:after="240"/>
        <w:ind w:left="720" w:hanging="720"/>
        <w:rPr>
          <w:rFonts w:asciiTheme="majorBidi" w:hAnsiTheme="majorBidi" w:cstheme="majorBidi"/>
          <w:noProof/>
          <w:sz w:val="24"/>
          <w:szCs w:val="24"/>
          <w:highlight w:val="yellow"/>
          <w:lang w:val="en-US"/>
        </w:rPr>
      </w:pPr>
      <w:r w:rsidRPr="008F2CF9">
        <w:rPr>
          <w:rFonts w:asciiTheme="majorBidi" w:hAnsiTheme="majorBidi" w:cstheme="majorBidi"/>
          <w:noProof/>
          <w:sz w:val="24"/>
          <w:szCs w:val="24"/>
          <w:lang w:val="en-US"/>
        </w:rPr>
        <w:t>Cameron, M.P. and Poot, J. (2014</w:t>
      </w:r>
      <w:r>
        <w:rPr>
          <w:rFonts w:asciiTheme="majorBidi" w:hAnsiTheme="majorBidi" w:cstheme="majorBidi"/>
          <w:noProof/>
          <w:sz w:val="24"/>
          <w:szCs w:val="24"/>
          <w:lang w:val="en-US"/>
        </w:rPr>
        <w:t>a</w:t>
      </w:r>
      <w:r w:rsidRPr="008F2CF9">
        <w:rPr>
          <w:rFonts w:asciiTheme="majorBidi" w:hAnsiTheme="majorBidi" w:cstheme="majorBidi"/>
          <w:noProof/>
          <w:sz w:val="24"/>
          <w:szCs w:val="24"/>
          <w:lang w:val="en-US"/>
        </w:rPr>
        <w:t xml:space="preserve">). </w:t>
      </w:r>
      <w:r w:rsidRPr="008F2CF9">
        <w:rPr>
          <w:rFonts w:asciiTheme="majorBidi" w:hAnsiTheme="majorBidi" w:cstheme="majorBidi"/>
          <w:i/>
          <w:iCs/>
          <w:noProof/>
          <w:sz w:val="24"/>
          <w:szCs w:val="24"/>
          <w:lang w:val="en-US"/>
        </w:rPr>
        <w:t>Developing a systems-based multi-region stochastic population projections model for New Zealand</w:t>
      </w:r>
      <w:r w:rsidRPr="008F2CF9">
        <w:rPr>
          <w:rFonts w:asciiTheme="majorBidi" w:hAnsiTheme="majorBidi" w:cstheme="majorBidi"/>
          <w:noProof/>
          <w:sz w:val="24"/>
          <w:szCs w:val="24"/>
          <w:lang w:val="en-US"/>
        </w:rPr>
        <w:t>, presented at the Australia and New Zealand Regional Science Association International 38th Annual Conference, Christchurch, 1-4 December.</w:t>
      </w:r>
    </w:p>
    <w:p w14:paraId="52E9398B" w14:textId="77777777" w:rsidR="00854740" w:rsidRDefault="00854740" w:rsidP="00854740">
      <w:pPr>
        <w:pStyle w:val="Bibliography"/>
        <w:spacing w:before="240" w:after="240"/>
        <w:ind w:left="720" w:hanging="720"/>
        <w:rPr>
          <w:rFonts w:asciiTheme="majorBidi" w:hAnsiTheme="majorBidi" w:cstheme="majorBidi"/>
          <w:noProof/>
          <w:sz w:val="24"/>
          <w:szCs w:val="24"/>
          <w:lang w:val="en-US"/>
        </w:rPr>
      </w:pPr>
      <w:r w:rsidRPr="00854740">
        <w:rPr>
          <w:rFonts w:asciiTheme="majorBidi" w:hAnsiTheme="majorBidi" w:cstheme="majorBidi"/>
          <w:noProof/>
          <w:sz w:val="24"/>
          <w:szCs w:val="24"/>
          <w:lang w:val="en-US"/>
        </w:rPr>
        <w:t>Cameron, M.P. and Poot, J. (2014</w:t>
      </w:r>
      <w:r w:rsidR="008F2CF9">
        <w:rPr>
          <w:rFonts w:asciiTheme="majorBidi" w:hAnsiTheme="majorBidi" w:cstheme="majorBidi"/>
          <w:noProof/>
          <w:sz w:val="24"/>
          <w:szCs w:val="24"/>
          <w:lang w:val="en-US"/>
        </w:rPr>
        <w:t>b</w:t>
      </w:r>
      <w:r w:rsidRPr="00854740">
        <w:rPr>
          <w:rFonts w:asciiTheme="majorBidi" w:hAnsiTheme="majorBidi" w:cstheme="majorBidi"/>
          <w:noProof/>
          <w:sz w:val="24"/>
          <w:szCs w:val="24"/>
          <w:lang w:val="en-US"/>
        </w:rPr>
        <w:t xml:space="preserve">). </w:t>
      </w:r>
      <w:r w:rsidRPr="00854740">
        <w:rPr>
          <w:rFonts w:asciiTheme="majorBidi" w:hAnsiTheme="majorBidi" w:cstheme="majorBidi"/>
          <w:i/>
          <w:iCs/>
          <w:noProof/>
          <w:sz w:val="24"/>
          <w:szCs w:val="24"/>
          <w:lang w:val="en-US"/>
        </w:rPr>
        <w:t>Projecting future inter-regional migration using age-gender-specific gravity models – Application to New Zealand</w:t>
      </w:r>
      <w:r w:rsidRPr="00854740">
        <w:rPr>
          <w:rFonts w:asciiTheme="majorBidi" w:hAnsiTheme="majorBidi" w:cstheme="majorBidi"/>
          <w:noProof/>
          <w:sz w:val="24"/>
          <w:szCs w:val="24"/>
          <w:lang w:val="en-US"/>
        </w:rPr>
        <w:t>, presented at the 16th Conference on Labour, Employment and Work, Wellington, 27-28 November.</w:t>
      </w:r>
    </w:p>
    <w:p w14:paraId="58515B2B" w14:textId="77777777" w:rsidR="008F2CF9" w:rsidRDefault="008F2CF9" w:rsidP="00854740">
      <w:pPr>
        <w:pStyle w:val="Bibliography"/>
        <w:spacing w:before="240" w:after="240"/>
        <w:ind w:left="720" w:hanging="720"/>
        <w:rPr>
          <w:rFonts w:asciiTheme="majorBidi" w:hAnsiTheme="majorBidi" w:cstheme="majorBidi"/>
          <w:sz w:val="24"/>
          <w:szCs w:val="24"/>
        </w:rPr>
      </w:pPr>
      <w:r w:rsidRPr="008F2CF9">
        <w:rPr>
          <w:rFonts w:asciiTheme="majorBidi" w:hAnsiTheme="majorBidi" w:cstheme="majorBidi"/>
          <w:sz w:val="24"/>
          <w:szCs w:val="24"/>
        </w:rPr>
        <w:t xml:space="preserve">Cameron, M.P., and Poot, J. (2016). </w:t>
      </w:r>
      <w:r w:rsidRPr="008F2CF9">
        <w:rPr>
          <w:rFonts w:asciiTheme="majorBidi" w:hAnsiTheme="majorBidi" w:cstheme="majorBidi"/>
          <w:i/>
          <w:iCs/>
          <w:sz w:val="24"/>
          <w:szCs w:val="24"/>
        </w:rPr>
        <w:t>Multi-region stochastic projections for New Zealand: Results and implications for ethnic projections</w:t>
      </w:r>
      <w:r w:rsidRPr="008F2CF9">
        <w:rPr>
          <w:rFonts w:asciiTheme="majorBidi" w:hAnsiTheme="majorBidi" w:cstheme="majorBidi"/>
          <w:sz w:val="24"/>
          <w:szCs w:val="24"/>
        </w:rPr>
        <w:t>, presented at the Pathways, Circuits and Crossroads 2016 Conference, Wellington, 9-11 November.</w:t>
      </w:r>
    </w:p>
    <w:p w14:paraId="44235A03" w14:textId="77777777" w:rsidR="00854740" w:rsidRPr="00854740" w:rsidRDefault="00854740" w:rsidP="00854740">
      <w:pPr>
        <w:pStyle w:val="Bibliography"/>
        <w:spacing w:before="240" w:after="240"/>
        <w:ind w:left="720" w:hanging="720"/>
        <w:rPr>
          <w:rFonts w:asciiTheme="majorBidi" w:hAnsiTheme="majorBidi" w:cstheme="majorBidi"/>
          <w:noProof/>
          <w:sz w:val="24"/>
          <w:szCs w:val="24"/>
          <w:lang w:val="en-US"/>
        </w:rPr>
      </w:pPr>
      <w:r w:rsidRPr="00854740">
        <w:rPr>
          <w:rFonts w:asciiTheme="majorBidi" w:hAnsiTheme="majorBidi" w:cstheme="majorBidi"/>
          <w:sz w:val="24"/>
          <w:szCs w:val="24"/>
        </w:rPr>
        <w:t xml:space="preserve">Cameron, M.P., and Poot, J. (2019). The estimation and interpretation of coefficients in panel gravity models of migration, </w:t>
      </w:r>
      <w:r w:rsidRPr="00854740">
        <w:rPr>
          <w:rFonts w:asciiTheme="majorBidi" w:hAnsiTheme="majorBidi" w:cstheme="majorBidi"/>
          <w:i/>
          <w:sz w:val="24"/>
          <w:szCs w:val="24"/>
        </w:rPr>
        <w:t>Letters in Spatial and Resource Sciences</w:t>
      </w:r>
      <w:r w:rsidRPr="00854740">
        <w:rPr>
          <w:rFonts w:asciiTheme="majorBidi" w:hAnsiTheme="majorBidi" w:cstheme="majorBidi"/>
          <w:sz w:val="24"/>
          <w:szCs w:val="24"/>
        </w:rPr>
        <w:t>, 12(1), 9-15.</w:t>
      </w:r>
    </w:p>
    <w:p w14:paraId="1B40F351" w14:textId="77777777" w:rsidR="00066C2B" w:rsidRPr="00826A78" w:rsidRDefault="00066C2B" w:rsidP="00066C2B">
      <w:pPr>
        <w:pStyle w:val="Bibliography"/>
        <w:spacing w:before="240" w:after="240"/>
        <w:ind w:left="720" w:hanging="720"/>
        <w:rPr>
          <w:rFonts w:asciiTheme="majorBidi" w:hAnsiTheme="majorBidi" w:cstheme="majorBidi"/>
          <w:noProof/>
          <w:sz w:val="24"/>
          <w:szCs w:val="24"/>
          <w:lang w:val="en-US"/>
        </w:rPr>
      </w:pPr>
      <w:r w:rsidRPr="00826A78">
        <w:rPr>
          <w:rFonts w:asciiTheme="majorBidi" w:hAnsiTheme="majorBidi" w:cstheme="majorBidi"/>
          <w:noProof/>
          <w:sz w:val="24"/>
          <w:szCs w:val="24"/>
          <w:lang w:val="en-US"/>
        </w:rPr>
        <w:lastRenderedPageBreak/>
        <w:t xml:space="preserve">Dharmalingam, A., and Pool, I. (Eds.). (2006). Population Projections: Stochastic Simulation Techniques and Applications. </w:t>
      </w:r>
      <w:r w:rsidRPr="00826A78">
        <w:rPr>
          <w:rFonts w:asciiTheme="majorBidi" w:hAnsiTheme="majorBidi" w:cstheme="majorBidi"/>
          <w:i/>
          <w:noProof/>
          <w:sz w:val="24"/>
          <w:szCs w:val="24"/>
          <w:lang w:val="en-US"/>
        </w:rPr>
        <w:t>Special issue New Zealand Population Review</w:t>
      </w:r>
      <w:r w:rsidRPr="00826A78">
        <w:rPr>
          <w:rFonts w:asciiTheme="majorBidi" w:hAnsiTheme="majorBidi" w:cstheme="majorBidi"/>
          <w:noProof/>
          <w:sz w:val="24"/>
          <w:szCs w:val="24"/>
          <w:lang w:val="en-US"/>
        </w:rPr>
        <w:t>, Wellington, New Zealand: Population Association of New Zealand.</w:t>
      </w:r>
    </w:p>
    <w:p w14:paraId="25C3362E" w14:textId="77777777" w:rsidR="00EA76B3" w:rsidRPr="00FA2DCB" w:rsidRDefault="00EA76B3" w:rsidP="00EA76B3">
      <w:pPr>
        <w:pStyle w:val="Bibliography"/>
        <w:spacing w:before="240" w:after="240"/>
        <w:ind w:left="720" w:hanging="720"/>
        <w:rPr>
          <w:rFonts w:asciiTheme="majorBidi" w:hAnsiTheme="majorBidi" w:cstheme="majorBidi"/>
          <w:noProof/>
          <w:sz w:val="24"/>
          <w:szCs w:val="24"/>
          <w:lang w:val="en-US"/>
        </w:rPr>
      </w:pPr>
      <w:r w:rsidRPr="00FA2DCB">
        <w:rPr>
          <w:rFonts w:asciiTheme="majorBidi" w:hAnsiTheme="majorBidi" w:cstheme="majorBidi"/>
          <w:noProof/>
          <w:sz w:val="24"/>
          <w:szCs w:val="24"/>
          <w:lang w:val="en-US"/>
        </w:rPr>
        <w:t xml:space="preserve">Jackson, N.O., Cameron, M.P., and Cochrane, W. (2014a). </w:t>
      </w:r>
      <w:r w:rsidRPr="00FA2DCB">
        <w:rPr>
          <w:rFonts w:asciiTheme="majorBidi" w:hAnsiTheme="majorBidi" w:cstheme="majorBidi"/>
          <w:i/>
          <w:noProof/>
          <w:sz w:val="24"/>
          <w:szCs w:val="24"/>
          <w:lang w:val="en-US"/>
        </w:rPr>
        <w:t>2014 Review of Demographic and Labour Force Projections for the Bay of Plenty Region for the Period 2013-2063</w:t>
      </w:r>
      <w:r w:rsidRPr="00FA2DCB">
        <w:rPr>
          <w:rFonts w:asciiTheme="majorBidi" w:hAnsiTheme="majorBidi" w:cstheme="majorBidi"/>
          <w:noProof/>
          <w:sz w:val="24"/>
          <w:szCs w:val="24"/>
          <w:lang w:val="en-US"/>
        </w:rPr>
        <w:t>, research report commissioned by the SmartGrowth Implementation and Management Group, Hamilton: National Institute for Demographic and Economic Analysis, University of Waikato.</w:t>
      </w:r>
    </w:p>
    <w:p w14:paraId="4D024EB0" w14:textId="77777777" w:rsidR="00EA76B3" w:rsidRPr="005F6A74" w:rsidRDefault="00EA76B3" w:rsidP="00EA76B3">
      <w:pPr>
        <w:pStyle w:val="Bibliography"/>
        <w:spacing w:before="240" w:after="240"/>
        <w:ind w:left="720" w:hanging="720"/>
        <w:rPr>
          <w:rFonts w:asciiTheme="majorBidi" w:hAnsiTheme="majorBidi" w:cstheme="majorBidi"/>
          <w:noProof/>
          <w:sz w:val="24"/>
          <w:szCs w:val="24"/>
          <w:lang w:val="en-US"/>
        </w:rPr>
      </w:pPr>
      <w:r w:rsidRPr="005F6A74">
        <w:rPr>
          <w:rFonts w:asciiTheme="majorBidi" w:hAnsiTheme="majorBidi" w:cstheme="majorBidi"/>
          <w:noProof/>
          <w:sz w:val="24"/>
          <w:szCs w:val="24"/>
          <w:lang w:val="en-US"/>
        </w:rPr>
        <w:t>Jackson, N.O., Camero</w:t>
      </w:r>
      <w:r w:rsidR="00FA2DCB">
        <w:rPr>
          <w:rFonts w:asciiTheme="majorBidi" w:hAnsiTheme="majorBidi" w:cstheme="majorBidi"/>
          <w:noProof/>
          <w:sz w:val="24"/>
          <w:szCs w:val="24"/>
          <w:lang w:val="en-US"/>
        </w:rPr>
        <w:t>n, M.P., and Cochrane, W. (2014b</w:t>
      </w:r>
      <w:r w:rsidRPr="005F6A74">
        <w:rPr>
          <w:rFonts w:asciiTheme="majorBidi" w:hAnsiTheme="majorBidi" w:cstheme="majorBidi"/>
          <w:noProof/>
          <w:sz w:val="24"/>
          <w:szCs w:val="24"/>
          <w:lang w:val="en-US"/>
        </w:rPr>
        <w:t xml:space="preserve">). </w:t>
      </w:r>
      <w:r w:rsidRPr="005F6A74">
        <w:rPr>
          <w:rFonts w:asciiTheme="majorBidi" w:hAnsiTheme="majorBidi" w:cstheme="majorBidi"/>
          <w:i/>
          <w:noProof/>
          <w:sz w:val="24"/>
          <w:szCs w:val="24"/>
          <w:lang w:val="en-US"/>
        </w:rPr>
        <w:t>2014 Review of Demographic and Labour Force Projections for the Waikato Region for the Period 2013-2063,</w:t>
      </w:r>
      <w:r w:rsidRPr="005F6A74">
        <w:rPr>
          <w:rFonts w:asciiTheme="majorBidi" w:hAnsiTheme="majorBidi" w:cstheme="majorBidi"/>
          <w:noProof/>
          <w:sz w:val="24"/>
          <w:szCs w:val="24"/>
          <w:lang w:val="en-US"/>
        </w:rPr>
        <w:t xml:space="preserve"> research report commissioned by Hamilton City Council, Waikato District Council, and Waipa District Council, Hamilton: National Institute for Demographic and Economic Analysis, University of Waikato.</w:t>
      </w:r>
    </w:p>
    <w:p w14:paraId="6C9196D1" w14:textId="77777777" w:rsidR="00C90F17" w:rsidRDefault="0081725C" w:rsidP="00C90F17">
      <w:pPr>
        <w:pStyle w:val="Bibliography"/>
        <w:spacing w:before="240" w:after="240"/>
        <w:ind w:left="720" w:hanging="720"/>
        <w:rPr>
          <w:rFonts w:asciiTheme="majorBidi" w:hAnsiTheme="majorBidi" w:cstheme="majorBidi"/>
          <w:sz w:val="24"/>
          <w:szCs w:val="24"/>
        </w:rPr>
      </w:pPr>
      <w:r>
        <w:rPr>
          <w:rFonts w:asciiTheme="majorBidi" w:hAnsiTheme="majorBidi" w:cstheme="majorBidi"/>
          <w:sz w:val="24"/>
          <w:szCs w:val="24"/>
        </w:rPr>
        <w:t xml:space="preserve">Poot, J. (1986). </w:t>
      </w:r>
      <w:r w:rsidRPr="0081725C">
        <w:rPr>
          <w:rFonts w:asciiTheme="majorBidi" w:hAnsiTheme="majorBidi" w:cstheme="majorBidi"/>
          <w:sz w:val="24"/>
          <w:szCs w:val="24"/>
        </w:rPr>
        <w:t>A system approach to modelling the inter-urban exchange of workers in New</w:t>
      </w:r>
      <w:r>
        <w:rPr>
          <w:rFonts w:asciiTheme="majorBidi" w:hAnsiTheme="majorBidi" w:cstheme="majorBidi"/>
          <w:sz w:val="24"/>
          <w:szCs w:val="24"/>
        </w:rPr>
        <w:t xml:space="preserve"> Zealand</w:t>
      </w:r>
      <w:r w:rsidRPr="0081725C">
        <w:rPr>
          <w:rFonts w:asciiTheme="majorBidi" w:hAnsiTheme="majorBidi" w:cstheme="majorBidi"/>
          <w:sz w:val="24"/>
          <w:szCs w:val="24"/>
        </w:rPr>
        <w:t xml:space="preserve">, </w:t>
      </w:r>
      <w:r w:rsidRPr="0081725C">
        <w:rPr>
          <w:rFonts w:asciiTheme="majorBidi" w:hAnsiTheme="majorBidi" w:cstheme="majorBidi"/>
          <w:i/>
          <w:iCs/>
          <w:sz w:val="24"/>
          <w:szCs w:val="24"/>
        </w:rPr>
        <w:t>Scottish Journal of Political Economy</w:t>
      </w:r>
      <w:r>
        <w:rPr>
          <w:rFonts w:asciiTheme="majorBidi" w:hAnsiTheme="majorBidi" w:cstheme="majorBidi"/>
          <w:sz w:val="24"/>
          <w:szCs w:val="24"/>
        </w:rPr>
        <w:t>, 33(3),</w:t>
      </w:r>
      <w:r w:rsidRPr="0081725C">
        <w:rPr>
          <w:rFonts w:asciiTheme="majorBidi" w:hAnsiTheme="majorBidi" w:cstheme="majorBidi"/>
          <w:sz w:val="24"/>
          <w:szCs w:val="24"/>
        </w:rPr>
        <w:t xml:space="preserve"> 249-2</w:t>
      </w:r>
      <w:r w:rsidR="00C90F17">
        <w:rPr>
          <w:rFonts w:asciiTheme="majorBidi" w:hAnsiTheme="majorBidi" w:cstheme="majorBidi"/>
          <w:sz w:val="24"/>
          <w:szCs w:val="24"/>
        </w:rPr>
        <w:t>74.</w:t>
      </w:r>
    </w:p>
    <w:p w14:paraId="2853CACF" w14:textId="77777777" w:rsidR="00F91463" w:rsidRPr="00F91463" w:rsidRDefault="00F91463" w:rsidP="00C90F17">
      <w:pPr>
        <w:pStyle w:val="Bibliography"/>
        <w:spacing w:before="240" w:after="240"/>
        <w:ind w:left="720" w:hanging="720"/>
        <w:rPr>
          <w:rFonts w:asciiTheme="majorBidi" w:hAnsiTheme="majorBidi" w:cstheme="majorBidi"/>
          <w:noProof/>
          <w:sz w:val="24"/>
          <w:szCs w:val="24"/>
          <w:highlight w:val="yellow"/>
          <w:lang w:val="en-US"/>
        </w:rPr>
      </w:pPr>
      <w:r w:rsidRPr="00F91463">
        <w:rPr>
          <w:rFonts w:asciiTheme="majorBidi" w:hAnsiTheme="majorBidi" w:cstheme="majorBidi"/>
          <w:sz w:val="24"/>
          <w:szCs w:val="24"/>
        </w:rPr>
        <w:t xml:space="preserve">Poot, J., </w:t>
      </w:r>
      <w:proofErr w:type="spellStart"/>
      <w:r w:rsidRPr="00F91463">
        <w:rPr>
          <w:rFonts w:asciiTheme="majorBidi" w:hAnsiTheme="majorBidi" w:cstheme="majorBidi"/>
          <w:sz w:val="24"/>
          <w:szCs w:val="24"/>
        </w:rPr>
        <w:t>Alimi</w:t>
      </w:r>
      <w:proofErr w:type="spellEnd"/>
      <w:r w:rsidRPr="00F91463">
        <w:rPr>
          <w:rFonts w:asciiTheme="majorBidi" w:hAnsiTheme="majorBidi" w:cstheme="majorBidi"/>
          <w:sz w:val="24"/>
          <w:szCs w:val="24"/>
        </w:rPr>
        <w:t xml:space="preserve">, O., Cameron, M.P., and </w:t>
      </w:r>
      <w:proofErr w:type="spellStart"/>
      <w:r w:rsidRPr="00F91463">
        <w:rPr>
          <w:rFonts w:asciiTheme="majorBidi" w:hAnsiTheme="majorBidi" w:cstheme="majorBidi"/>
          <w:sz w:val="24"/>
          <w:szCs w:val="24"/>
        </w:rPr>
        <w:t>Maré</w:t>
      </w:r>
      <w:proofErr w:type="spellEnd"/>
      <w:r w:rsidRPr="00F91463">
        <w:rPr>
          <w:rFonts w:asciiTheme="majorBidi" w:hAnsiTheme="majorBidi" w:cstheme="majorBidi"/>
          <w:sz w:val="24"/>
          <w:szCs w:val="24"/>
        </w:rPr>
        <w:t xml:space="preserve">, D.C. (2016). The gravity model of migration: The successful comeback of an ageing superstar in regional science, </w:t>
      </w:r>
      <w:proofErr w:type="spellStart"/>
      <w:r w:rsidRPr="00F91463">
        <w:rPr>
          <w:rFonts w:asciiTheme="majorBidi" w:hAnsiTheme="majorBidi" w:cstheme="majorBidi"/>
          <w:i/>
          <w:sz w:val="24"/>
          <w:szCs w:val="24"/>
        </w:rPr>
        <w:t>Investigaciones</w:t>
      </w:r>
      <w:proofErr w:type="spellEnd"/>
      <w:r w:rsidRPr="00F91463">
        <w:rPr>
          <w:rFonts w:asciiTheme="majorBidi" w:hAnsiTheme="majorBidi" w:cstheme="majorBidi"/>
          <w:i/>
          <w:sz w:val="24"/>
          <w:szCs w:val="24"/>
        </w:rPr>
        <w:t xml:space="preserve"> </w:t>
      </w:r>
      <w:proofErr w:type="spellStart"/>
      <w:r w:rsidRPr="00F91463">
        <w:rPr>
          <w:rFonts w:asciiTheme="majorBidi" w:hAnsiTheme="majorBidi" w:cstheme="majorBidi"/>
          <w:i/>
          <w:sz w:val="24"/>
          <w:szCs w:val="24"/>
        </w:rPr>
        <w:t>Regionales</w:t>
      </w:r>
      <w:proofErr w:type="spellEnd"/>
      <w:r w:rsidRPr="00F91463">
        <w:rPr>
          <w:rFonts w:asciiTheme="majorBidi" w:hAnsiTheme="majorBidi" w:cstheme="majorBidi"/>
          <w:i/>
          <w:sz w:val="24"/>
          <w:szCs w:val="24"/>
        </w:rPr>
        <w:t xml:space="preserve"> – Journal of Regional Research</w:t>
      </w:r>
      <w:r w:rsidRPr="00F91463">
        <w:rPr>
          <w:rFonts w:asciiTheme="majorBidi" w:hAnsiTheme="majorBidi" w:cstheme="majorBidi"/>
          <w:sz w:val="24"/>
          <w:szCs w:val="24"/>
        </w:rPr>
        <w:t>, 36, 63-86.</w:t>
      </w:r>
    </w:p>
    <w:p w14:paraId="31983CD8" w14:textId="77777777" w:rsidR="008F2CF9" w:rsidRDefault="008F2CF9" w:rsidP="00F05A56">
      <w:pPr>
        <w:pStyle w:val="Bibliography"/>
        <w:spacing w:before="240" w:after="240"/>
        <w:ind w:left="720" w:hanging="720"/>
        <w:rPr>
          <w:rFonts w:asciiTheme="majorBidi" w:hAnsiTheme="majorBidi" w:cstheme="majorBidi"/>
          <w:noProof/>
          <w:sz w:val="24"/>
          <w:szCs w:val="24"/>
          <w:lang w:val="en-US"/>
        </w:rPr>
      </w:pPr>
      <w:r w:rsidRPr="008F2CF9">
        <w:rPr>
          <w:rFonts w:asciiTheme="majorBidi" w:hAnsiTheme="majorBidi" w:cstheme="majorBidi"/>
          <w:noProof/>
          <w:sz w:val="24"/>
          <w:szCs w:val="24"/>
          <w:lang w:val="en-US"/>
        </w:rPr>
        <w:t xml:space="preserve">Rogers, A., Raquillet, R., and Castro, L.J. (1978). Model migration schedules and their applications, </w:t>
      </w:r>
      <w:r w:rsidRPr="008F2CF9">
        <w:rPr>
          <w:rFonts w:asciiTheme="majorBidi" w:hAnsiTheme="majorBidi" w:cstheme="majorBidi"/>
          <w:i/>
          <w:iCs/>
          <w:noProof/>
          <w:sz w:val="24"/>
          <w:szCs w:val="24"/>
          <w:lang w:val="en-US"/>
        </w:rPr>
        <w:t>Environment and Planning A</w:t>
      </w:r>
      <w:r w:rsidRPr="008F2CF9">
        <w:rPr>
          <w:rFonts w:asciiTheme="majorBidi" w:hAnsiTheme="majorBidi" w:cstheme="majorBidi"/>
          <w:noProof/>
          <w:sz w:val="24"/>
          <w:szCs w:val="24"/>
          <w:lang w:val="en-US"/>
        </w:rPr>
        <w:t>, 10, 475-502.</w:t>
      </w:r>
    </w:p>
    <w:p w14:paraId="3862F58C" w14:textId="77777777" w:rsidR="00F05A56" w:rsidRPr="002F7326" w:rsidRDefault="00F05A56" w:rsidP="00F05A56">
      <w:pPr>
        <w:pStyle w:val="Bibliography"/>
        <w:spacing w:before="240" w:after="240"/>
        <w:ind w:left="720" w:hanging="720"/>
        <w:rPr>
          <w:rFonts w:asciiTheme="majorBidi" w:hAnsiTheme="majorBidi" w:cstheme="majorBidi"/>
          <w:noProof/>
          <w:sz w:val="24"/>
          <w:szCs w:val="24"/>
          <w:lang w:val="en-US"/>
        </w:rPr>
      </w:pPr>
      <w:r w:rsidRPr="002F7326">
        <w:rPr>
          <w:rFonts w:asciiTheme="majorBidi" w:hAnsiTheme="majorBidi" w:cstheme="majorBidi"/>
          <w:noProof/>
          <w:sz w:val="24"/>
          <w:szCs w:val="24"/>
          <w:lang w:val="en-US"/>
        </w:rPr>
        <w:t xml:space="preserve">Rutledge, D.T., Cameron, M., Elliott, S., Fenton, T., Huser, B., McBride, G., McDonald, G., O’Connor, M., Phyn, D., Poot, J., Price, R., Scrimgeour, F., Small, B., Tait, A., van Delden, H., Wedderburn, L., and Woods, R.A. (2008). Choosing regional futures: challenges and choices in building integrated models to support long-term regional planning in New Zealand, </w:t>
      </w:r>
      <w:r w:rsidRPr="002F7326">
        <w:rPr>
          <w:rFonts w:asciiTheme="majorBidi" w:hAnsiTheme="majorBidi" w:cstheme="majorBidi"/>
          <w:i/>
          <w:noProof/>
          <w:sz w:val="24"/>
          <w:szCs w:val="24"/>
          <w:lang w:val="en-US"/>
        </w:rPr>
        <w:t>Regional Science Policy and Practice</w:t>
      </w:r>
      <w:r w:rsidRPr="002F7326">
        <w:rPr>
          <w:rFonts w:asciiTheme="majorBidi" w:hAnsiTheme="majorBidi" w:cstheme="majorBidi"/>
          <w:noProof/>
          <w:sz w:val="24"/>
          <w:szCs w:val="24"/>
          <w:lang w:val="en-US"/>
        </w:rPr>
        <w:t xml:space="preserve"> 1(1), 85-108.</w:t>
      </w:r>
    </w:p>
    <w:p w14:paraId="4772D5D9" w14:textId="77777777" w:rsidR="00F05A56" w:rsidRPr="002F7326" w:rsidRDefault="00F05A56" w:rsidP="00F05A56">
      <w:pPr>
        <w:pStyle w:val="Bibliography"/>
        <w:spacing w:before="240" w:after="240"/>
        <w:ind w:left="720" w:hanging="720"/>
        <w:rPr>
          <w:rFonts w:asciiTheme="majorBidi" w:hAnsiTheme="majorBidi" w:cstheme="majorBidi"/>
          <w:noProof/>
          <w:sz w:val="24"/>
          <w:szCs w:val="24"/>
          <w:lang w:val="en-US"/>
        </w:rPr>
      </w:pPr>
      <w:r w:rsidRPr="002F7326">
        <w:rPr>
          <w:rFonts w:asciiTheme="majorBidi" w:hAnsiTheme="majorBidi" w:cstheme="majorBidi"/>
          <w:noProof/>
          <w:sz w:val="24"/>
          <w:szCs w:val="24"/>
          <w:lang w:val="en-US"/>
        </w:rPr>
        <w:t xml:space="preserve">Rutledge, D., Cameron, M., Elliott, S., Hurkens, J., MacDonald, G., McBride, G., Phyn, D.,  Poot, J., Price, R., Schmidt, J., van Delden, H., Tait, A., and Woods, R. (2010). </w:t>
      </w:r>
      <w:r w:rsidRPr="002F7326">
        <w:rPr>
          <w:rFonts w:asciiTheme="majorBidi" w:hAnsiTheme="majorBidi" w:cstheme="majorBidi"/>
          <w:i/>
          <w:noProof/>
          <w:sz w:val="24"/>
          <w:szCs w:val="24"/>
          <w:lang w:val="en-US"/>
        </w:rPr>
        <w:t>WISE – Waikato Integrated Scenario Explorer, Technical Specifications Version 1.1</w:t>
      </w:r>
      <w:r w:rsidRPr="002F7326">
        <w:rPr>
          <w:rFonts w:asciiTheme="majorBidi" w:hAnsiTheme="majorBidi" w:cstheme="majorBidi"/>
          <w:noProof/>
          <w:sz w:val="24"/>
          <w:szCs w:val="24"/>
          <w:lang w:val="en-US"/>
        </w:rPr>
        <w:t>, research report commissioned by Environment Waikato, Hamilton: Landcare Research.</w:t>
      </w:r>
    </w:p>
    <w:p w14:paraId="1B82C571" w14:textId="77777777" w:rsidR="007D2A9B" w:rsidRDefault="007D2A9B" w:rsidP="007D2A9B">
      <w:pPr>
        <w:pStyle w:val="Bibliography"/>
        <w:spacing w:before="240" w:after="240"/>
        <w:ind w:left="720" w:hanging="720"/>
        <w:rPr>
          <w:rFonts w:asciiTheme="majorBidi" w:hAnsiTheme="majorBidi" w:cstheme="majorBidi"/>
          <w:noProof/>
          <w:sz w:val="24"/>
          <w:szCs w:val="24"/>
          <w:lang w:val="en-US"/>
        </w:rPr>
      </w:pPr>
      <w:r>
        <w:rPr>
          <w:rFonts w:asciiTheme="majorBidi" w:hAnsiTheme="majorBidi" w:cstheme="majorBidi"/>
          <w:noProof/>
          <w:sz w:val="24"/>
          <w:szCs w:val="24"/>
          <w:lang w:val="en-US"/>
        </w:rPr>
        <w:t>Sobotka, T., Skirbekk, V., and</w:t>
      </w:r>
      <w:r w:rsidRPr="007D2A9B">
        <w:rPr>
          <w:rFonts w:asciiTheme="majorBidi" w:hAnsiTheme="majorBidi" w:cstheme="majorBidi"/>
          <w:noProof/>
          <w:sz w:val="24"/>
          <w:szCs w:val="24"/>
          <w:lang w:val="en-US"/>
        </w:rPr>
        <w:t xml:space="preserve"> Philipov, D. (2011). Economic recession and fertility in the developed</w:t>
      </w:r>
      <w:r>
        <w:rPr>
          <w:rFonts w:asciiTheme="majorBidi" w:hAnsiTheme="majorBidi" w:cstheme="majorBidi"/>
          <w:noProof/>
          <w:sz w:val="24"/>
          <w:szCs w:val="24"/>
          <w:lang w:val="en-US"/>
        </w:rPr>
        <w:t xml:space="preserve"> </w:t>
      </w:r>
      <w:r w:rsidRPr="007D2A9B">
        <w:rPr>
          <w:rFonts w:asciiTheme="majorBidi" w:hAnsiTheme="majorBidi" w:cstheme="majorBidi"/>
          <w:noProof/>
          <w:sz w:val="24"/>
          <w:szCs w:val="24"/>
          <w:lang w:val="en-US"/>
        </w:rPr>
        <w:t xml:space="preserve">world. </w:t>
      </w:r>
      <w:r w:rsidRPr="007D2A9B">
        <w:rPr>
          <w:rFonts w:asciiTheme="majorBidi" w:hAnsiTheme="majorBidi" w:cstheme="majorBidi"/>
          <w:i/>
          <w:iCs/>
          <w:noProof/>
          <w:sz w:val="24"/>
          <w:szCs w:val="24"/>
          <w:lang w:val="en-US"/>
        </w:rPr>
        <w:t>Population and Development Review</w:t>
      </w:r>
      <w:r>
        <w:rPr>
          <w:rFonts w:asciiTheme="majorBidi" w:hAnsiTheme="majorBidi" w:cstheme="majorBidi"/>
          <w:noProof/>
          <w:sz w:val="24"/>
          <w:szCs w:val="24"/>
          <w:lang w:val="en-US"/>
        </w:rPr>
        <w:t>, 2, 267-</w:t>
      </w:r>
      <w:r w:rsidRPr="007D2A9B">
        <w:rPr>
          <w:rFonts w:asciiTheme="majorBidi" w:hAnsiTheme="majorBidi" w:cstheme="majorBidi"/>
          <w:noProof/>
          <w:sz w:val="24"/>
          <w:szCs w:val="24"/>
          <w:lang w:val="en-US"/>
        </w:rPr>
        <w:t>306</w:t>
      </w:r>
      <w:r>
        <w:rPr>
          <w:rFonts w:asciiTheme="majorBidi" w:hAnsiTheme="majorBidi" w:cstheme="majorBidi"/>
          <w:noProof/>
          <w:sz w:val="24"/>
          <w:szCs w:val="24"/>
          <w:lang w:val="en-US"/>
        </w:rPr>
        <w:t>.</w:t>
      </w:r>
    </w:p>
    <w:p w14:paraId="02DD5134" w14:textId="77777777" w:rsidR="002F33D8" w:rsidRDefault="002F33D8" w:rsidP="002F33D8">
      <w:pPr>
        <w:pStyle w:val="Bibliography"/>
        <w:spacing w:before="240" w:after="240"/>
        <w:ind w:left="720" w:hanging="720"/>
        <w:rPr>
          <w:rFonts w:ascii="Times New Roman" w:hAnsi="Times New Roman" w:cs="Times New Roman"/>
          <w:sz w:val="24"/>
          <w:szCs w:val="24"/>
        </w:rPr>
      </w:pPr>
      <w:proofErr w:type="spellStart"/>
      <w:r w:rsidRPr="002F33D8">
        <w:rPr>
          <w:rFonts w:ascii="Times New Roman" w:hAnsi="Times New Roman" w:cs="Times New Roman"/>
          <w:sz w:val="24"/>
          <w:szCs w:val="24"/>
        </w:rPr>
        <w:t>Stoto</w:t>
      </w:r>
      <w:proofErr w:type="spellEnd"/>
      <w:r>
        <w:rPr>
          <w:rFonts w:ascii="Times New Roman" w:hAnsi="Times New Roman" w:cs="Times New Roman"/>
          <w:sz w:val="24"/>
          <w:szCs w:val="24"/>
        </w:rPr>
        <w:t>,</w:t>
      </w:r>
      <w:r w:rsidRPr="002F33D8">
        <w:rPr>
          <w:rFonts w:ascii="Times New Roman" w:hAnsi="Times New Roman" w:cs="Times New Roman"/>
          <w:sz w:val="24"/>
          <w:szCs w:val="24"/>
        </w:rPr>
        <w:t xml:space="preserve"> M</w:t>
      </w:r>
      <w:r>
        <w:rPr>
          <w:rFonts w:ascii="Times New Roman" w:hAnsi="Times New Roman" w:cs="Times New Roman"/>
          <w:sz w:val="24"/>
          <w:szCs w:val="24"/>
        </w:rPr>
        <w:t>.</w:t>
      </w:r>
      <w:r w:rsidRPr="002F33D8">
        <w:rPr>
          <w:rFonts w:ascii="Times New Roman" w:hAnsi="Times New Roman" w:cs="Times New Roman"/>
          <w:sz w:val="24"/>
          <w:szCs w:val="24"/>
        </w:rPr>
        <w:t xml:space="preserve"> (1983)</w:t>
      </w:r>
      <w:r>
        <w:rPr>
          <w:rFonts w:ascii="Times New Roman" w:hAnsi="Times New Roman" w:cs="Times New Roman"/>
          <w:sz w:val="24"/>
          <w:szCs w:val="24"/>
        </w:rPr>
        <w:t>.</w:t>
      </w:r>
      <w:r w:rsidRPr="002F33D8">
        <w:rPr>
          <w:rFonts w:ascii="Times New Roman" w:hAnsi="Times New Roman" w:cs="Times New Roman"/>
          <w:sz w:val="24"/>
          <w:szCs w:val="24"/>
        </w:rPr>
        <w:t xml:space="preserve"> Accuracy of population projections. </w:t>
      </w:r>
      <w:r w:rsidRPr="002F33D8">
        <w:rPr>
          <w:rFonts w:ascii="Times New Roman" w:hAnsi="Times New Roman" w:cs="Times New Roman"/>
          <w:i/>
          <w:iCs/>
          <w:sz w:val="24"/>
          <w:szCs w:val="24"/>
        </w:rPr>
        <w:t>Journal of the American Statistical Association</w:t>
      </w:r>
      <w:r>
        <w:rPr>
          <w:rFonts w:ascii="Times New Roman" w:hAnsi="Times New Roman" w:cs="Times New Roman"/>
          <w:sz w:val="24"/>
          <w:szCs w:val="24"/>
        </w:rPr>
        <w:t>,</w:t>
      </w:r>
      <w:r w:rsidRPr="002F33D8">
        <w:rPr>
          <w:rFonts w:ascii="Times New Roman" w:hAnsi="Times New Roman" w:cs="Times New Roman"/>
          <w:sz w:val="24"/>
          <w:szCs w:val="24"/>
        </w:rPr>
        <w:t xml:space="preserve"> 78</w:t>
      </w:r>
      <w:r>
        <w:rPr>
          <w:rFonts w:ascii="Times New Roman" w:hAnsi="Times New Roman" w:cs="Times New Roman"/>
          <w:sz w:val="24"/>
          <w:szCs w:val="24"/>
        </w:rPr>
        <w:t xml:space="preserve">, </w:t>
      </w:r>
      <w:r w:rsidRPr="002F33D8">
        <w:rPr>
          <w:rFonts w:ascii="Times New Roman" w:hAnsi="Times New Roman" w:cs="Times New Roman"/>
          <w:sz w:val="24"/>
          <w:szCs w:val="24"/>
        </w:rPr>
        <w:t>13-20</w:t>
      </w:r>
      <w:r>
        <w:rPr>
          <w:rFonts w:ascii="Times New Roman" w:hAnsi="Times New Roman" w:cs="Times New Roman"/>
          <w:sz w:val="24"/>
          <w:szCs w:val="24"/>
        </w:rPr>
        <w:t>.</w:t>
      </w:r>
    </w:p>
    <w:p w14:paraId="7F80E080" w14:textId="77777777" w:rsidR="00826A78" w:rsidRDefault="00826A78" w:rsidP="002F7326">
      <w:pPr>
        <w:pStyle w:val="Bibliography"/>
        <w:spacing w:before="240" w:after="240"/>
        <w:ind w:left="720" w:hanging="720"/>
        <w:rPr>
          <w:rFonts w:ascii="Times New Roman" w:hAnsi="Times New Roman" w:cs="Times New Roman"/>
          <w:sz w:val="24"/>
          <w:szCs w:val="24"/>
        </w:rPr>
      </w:pPr>
      <w:r>
        <w:rPr>
          <w:rFonts w:ascii="Times New Roman" w:hAnsi="Times New Roman" w:cs="Times New Roman"/>
          <w:sz w:val="24"/>
          <w:szCs w:val="24"/>
        </w:rPr>
        <w:t>Whelpton, P.</w:t>
      </w:r>
      <w:r w:rsidRPr="00826A78">
        <w:rPr>
          <w:rFonts w:ascii="Times New Roman" w:hAnsi="Times New Roman" w:cs="Times New Roman"/>
          <w:sz w:val="24"/>
          <w:szCs w:val="24"/>
        </w:rPr>
        <w:t xml:space="preserve">K.  (1928). Population of the United States, 1925 to 1975, </w:t>
      </w:r>
      <w:r w:rsidRPr="00826A78">
        <w:rPr>
          <w:rFonts w:ascii="Times New Roman" w:hAnsi="Times New Roman" w:cs="Times New Roman"/>
          <w:i/>
          <w:iCs/>
          <w:sz w:val="24"/>
          <w:szCs w:val="24"/>
        </w:rPr>
        <w:t>American Journal of Sociology</w:t>
      </w:r>
      <w:r w:rsidRPr="00826A78">
        <w:rPr>
          <w:rFonts w:ascii="Times New Roman" w:hAnsi="Times New Roman" w:cs="Times New Roman"/>
          <w:sz w:val="24"/>
          <w:szCs w:val="24"/>
        </w:rPr>
        <w:t xml:space="preserve">, 34(2), 253-270. </w:t>
      </w:r>
    </w:p>
    <w:p w14:paraId="0E317994" w14:textId="77777777" w:rsidR="00066040" w:rsidRDefault="00066040" w:rsidP="002F7326">
      <w:pPr>
        <w:pStyle w:val="Bibliography"/>
        <w:spacing w:before="240" w:after="240"/>
        <w:ind w:left="720" w:hanging="720"/>
        <w:rPr>
          <w:rFonts w:ascii="Times New Roman" w:hAnsi="Times New Roman" w:cs="Times New Roman"/>
          <w:sz w:val="24"/>
          <w:szCs w:val="24"/>
        </w:rPr>
      </w:pPr>
      <w:proofErr w:type="spellStart"/>
      <w:r w:rsidRPr="00066040">
        <w:rPr>
          <w:rFonts w:ascii="Times New Roman" w:hAnsi="Times New Roman" w:cs="Times New Roman"/>
          <w:sz w:val="24"/>
          <w:szCs w:val="24"/>
        </w:rPr>
        <w:lastRenderedPageBreak/>
        <w:t>Willekens</w:t>
      </w:r>
      <w:proofErr w:type="spellEnd"/>
      <w:r w:rsidRPr="00066040">
        <w:rPr>
          <w:rFonts w:ascii="Times New Roman" w:hAnsi="Times New Roman" w:cs="Times New Roman"/>
          <w:sz w:val="24"/>
          <w:szCs w:val="24"/>
        </w:rPr>
        <w:t xml:space="preserve">, F.J. (1983). Multiregional population analysis for urban and regional planning. In Batty, M., and Hutchinson, M. (Eds.). </w:t>
      </w:r>
      <w:r w:rsidRPr="00066040">
        <w:rPr>
          <w:rFonts w:ascii="Times New Roman" w:hAnsi="Times New Roman" w:cs="Times New Roman"/>
          <w:i/>
          <w:iCs/>
          <w:sz w:val="24"/>
          <w:szCs w:val="24"/>
        </w:rPr>
        <w:t>System analysis in urban policy making and planning</w:t>
      </w:r>
      <w:r w:rsidRPr="00066040">
        <w:rPr>
          <w:rFonts w:ascii="Times New Roman" w:hAnsi="Times New Roman" w:cs="Times New Roman"/>
          <w:sz w:val="24"/>
          <w:szCs w:val="24"/>
        </w:rPr>
        <w:t>. New York: Plenum Pre</w:t>
      </w:r>
      <w:r>
        <w:rPr>
          <w:rFonts w:ascii="Times New Roman" w:hAnsi="Times New Roman" w:cs="Times New Roman"/>
          <w:sz w:val="24"/>
          <w:szCs w:val="24"/>
        </w:rPr>
        <w:t>ss.</w:t>
      </w:r>
    </w:p>
    <w:p w14:paraId="1B11DC8A" w14:textId="77777777" w:rsidR="008F2CF9" w:rsidRDefault="008F2CF9" w:rsidP="002F7326">
      <w:pPr>
        <w:pStyle w:val="Bibliography"/>
        <w:spacing w:before="240" w:after="240"/>
        <w:ind w:left="720" w:hanging="720"/>
        <w:rPr>
          <w:rFonts w:ascii="Times New Roman" w:hAnsi="Times New Roman" w:cs="Times New Roman"/>
          <w:sz w:val="24"/>
          <w:szCs w:val="24"/>
        </w:rPr>
      </w:pPr>
      <w:r w:rsidRPr="008F2CF9">
        <w:rPr>
          <w:rFonts w:ascii="Times New Roman" w:hAnsi="Times New Roman" w:cs="Times New Roman"/>
          <w:sz w:val="24"/>
          <w:szCs w:val="24"/>
        </w:rPr>
        <w:t xml:space="preserve">Wilson, T. (2010). Model migration schedules incorporating student migration peaks, </w:t>
      </w:r>
      <w:r w:rsidRPr="008F2CF9">
        <w:rPr>
          <w:rFonts w:ascii="Times New Roman" w:hAnsi="Times New Roman" w:cs="Times New Roman"/>
          <w:i/>
          <w:iCs/>
          <w:sz w:val="24"/>
          <w:szCs w:val="24"/>
        </w:rPr>
        <w:t>Demographic Research</w:t>
      </w:r>
      <w:r w:rsidRPr="008F2CF9">
        <w:rPr>
          <w:rFonts w:ascii="Times New Roman" w:hAnsi="Times New Roman" w:cs="Times New Roman"/>
          <w:sz w:val="24"/>
          <w:szCs w:val="24"/>
        </w:rPr>
        <w:t>, 23(8), 191-222.</w:t>
      </w:r>
    </w:p>
    <w:p w14:paraId="17464F56" w14:textId="77777777" w:rsidR="002F7326" w:rsidRDefault="002F7326" w:rsidP="00C90F17">
      <w:pPr>
        <w:pStyle w:val="Bibliography"/>
        <w:spacing w:before="240" w:after="240"/>
        <w:ind w:left="720" w:hanging="720"/>
        <w:rPr>
          <w:rFonts w:ascii="Times New Roman" w:hAnsi="Times New Roman" w:cs="Times New Roman"/>
          <w:sz w:val="24"/>
          <w:szCs w:val="24"/>
        </w:rPr>
      </w:pPr>
      <w:r>
        <w:rPr>
          <w:rFonts w:ascii="Times New Roman" w:hAnsi="Times New Roman" w:cs="Times New Roman"/>
          <w:sz w:val="24"/>
          <w:szCs w:val="24"/>
        </w:rPr>
        <w:t>Wilson, T</w:t>
      </w:r>
      <w:r w:rsidRPr="005F6A74">
        <w:rPr>
          <w:rFonts w:ascii="Times New Roman" w:hAnsi="Times New Roman" w:cs="Times New Roman"/>
          <w:sz w:val="24"/>
          <w:szCs w:val="24"/>
        </w:rPr>
        <w:t xml:space="preserve">. (2015). </w:t>
      </w:r>
      <w:r w:rsidRPr="002F7326">
        <w:rPr>
          <w:rFonts w:ascii="Times New Roman" w:hAnsi="Times New Roman" w:cs="Times New Roman"/>
          <w:i/>
          <w:sz w:val="24"/>
          <w:szCs w:val="24"/>
        </w:rPr>
        <w:t>Review of demographic projections for the</w:t>
      </w:r>
      <w:r>
        <w:rPr>
          <w:rFonts w:ascii="Times New Roman" w:hAnsi="Times New Roman" w:cs="Times New Roman"/>
          <w:i/>
          <w:sz w:val="24"/>
          <w:szCs w:val="24"/>
        </w:rPr>
        <w:t xml:space="preserve"> </w:t>
      </w:r>
      <w:r w:rsidRPr="002F7326">
        <w:rPr>
          <w:rFonts w:ascii="Times New Roman" w:hAnsi="Times New Roman" w:cs="Times New Roman"/>
          <w:i/>
          <w:sz w:val="24"/>
          <w:szCs w:val="24"/>
        </w:rPr>
        <w:t>Territorial Authorities of Waikato Regional Council</w:t>
      </w:r>
      <w:r w:rsidRPr="005F6A74">
        <w:rPr>
          <w:rFonts w:ascii="Times New Roman" w:hAnsi="Times New Roman" w:cs="Times New Roman"/>
          <w:sz w:val="24"/>
          <w:szCs w:val="24"/>
        </w:rPr>
        <w:t xml:space="preserve">, research report commissioned by Waikato Regional Council. </w:t>
      </w:r>
      <w:r>
        <w:rPr>
          <w:rFonts w:ascii="Times New Roman" w:hAnsi="Times New Roman" w:cs="Times New Roman"/>
          <w:sz w:val="24"/>
          <w:szCs w:val="24"/>
        </w:rPr>
        <w:t>New Farm, Qld., Australia</w:t>
      </w:r>
      <w:r w:rsidRPr="005F6A74">
        <w:rPr>
          <w:rFonts w:ascii="Times New Roman" w:hAnsi="Times New Roman" w:cs="Times New Roman"/>
          <w:sz w:val="24"/>
          <w:szCs w:val="24"/>
        </w:rPr>
        <w:t xml:space="preserve">: </w:t>
      </w:r>
      <w:r>
        <w:rPr>
          <w:rFonts w:ascii="Times New Roman" w:hAnsi="Times New Roman" w:cs="Times New Roman"/>
          <w:sz w:val="24"/>
          <w:szCs w:val="24"/>
        </w:rPr>
        <w:t>Advanced Demographic Modelling</w:t>
      </w:r>
      <w:r w:rsidRPr="005F6A74">
        <w:rPr>
          <w:rFonts w:ascii="Times New Roman" w:hAnsi="Times New Roman" w:cs="Times New Roman"/>
          <w:sz w:val="24"/>
          <w:szCs w:val="24"/>
        </w:rPr>
        <w:t>.</w:t>
      </w:r>
    </w:p>
    <w:p w14:paraId="7F5E485E" w14:textId="77777777" w:rsidR="00C90F17" w:rsidRDefault="00C90F17" w:rsidP="00C90F17"/>
    <w:p w14:paraId="5F0B2BD8" w14:textId="77777777" w:rsidR="004566B8" w:rsidRDefault="004566B8" w:rsidP="00C90F17">
      <w:pPr>
        <w:pStyle w:val="Heading1"/>
        <w:spacing w:line="360" w:lineRule="auto"/>
        <w:jc w:val="both"/>
        <w:rPr>
          <w:rFonts w:ascii="Times New Roman" w:hAnsi="Times New Roman" w:cs="Times New Roman"/>
          <w:sz w:val="24"/>
          <w:szCs w:val="24"/>
        </w:rPr>
      </w:pPr>
    </w:p>
    <w:sectPr w:rsidR="004566B8" w:rsidSect="00217C0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BA81A" w14:textId="77777777" w:rsidR="00F04774" w:rsidRDefault="00F04774" w:rsidP="00A10425">
      <w:pPr>
        <w:spacing w:after="0" w:line="240" w:lineRule="auto"/>
      </w:pPr>
      <w:r>
        <w:separator/>
      </w:r>
    </w:p>
  </w:endnote>
  <w:endnote w:type="continuationSeparator" w:id="0">
    <w:p w14:paraId="3678B100" w14:textId="77777777" w:rsidR="00F04774" w:rsidRDefault="00F04774" w:rsidP="00A10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919F1" w14:textId="77777777" w:rsidR="00C90F17" w:rsidRDefault="00C90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275C0" w14:textId="77777777" w:rsidR="008F2CF9" w:rsidRDefault="008F2CF9" w:rsidP="00A74D0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B73C9" w14:textId="77777777" w:rsidR="00C90F17" w:rsidRDefault="00C90F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3649645"/>
      <w:docPartObj>
        <w:docPartGallery w:val="Page Numbers (Bottom of Page)"/>
        <w:docPartUnique/>
      </w:docPartObj>
    </w:sdtPr>
    <w:sdtEndPr/>
    <w:sdtContent>
      <w:p w14:paraId="7DAFB248" w14:textId="77777777" w:rsidR="008F2CF9" w:rsidRDefault="008F2CF9">
        <w:pPr>
          <w:pStyle w:val="Footer"/>
          <w:jc w:val="center"/>
        </w:pPr>
        <w:r>
          <w:fldChar w:fldCharType="begin"/>
        </w:r>
        <w:r>
          <w:instrText xml:space="preserve"> PAGE   \* MERGEFORMAT </w:instrText>
        </w:r>
        <w:r>
          <w:fldChar w:fldCharType="separate"/>
        </w:r>
        <w:r w:rsidR="00C90F17">
          <w:rPr>
            <w:noProof/>
          </w:rPr>
          <w:t>21</w:t>
        </w:r>
        <w:r>
          <w:rPr>
            <w:noProof/>
          </w:rPr>
          <w:fldChar w:fldCharType="end"/>
        </w:r>
      </w:p>
    </w:sdtContent>
  </w:sdt>
  <w:p w14:paraId="5857696B" w14:textId="77777777" w:rsidR="008F2CF9" w:rsidRDefault="008F2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B2D01E" w14:textId="77777777" w:rsidR="00F04774" w:rsidRDefault="00F04774" w:rsidP="00A10425">
      <w:pPr>
        <w:spacing w:after="0" w:line="240" w:lineRule="auto"/>
      </w:pPr>
      <w:r>
        <w:separator/>
      </w:r>
    </w:p>
  </w:footnote>
  <w:footnote w:type="continuationSeparator" w:id="0">
    <w:p w14:paraId="5E6673B0" w14:textId="77777777" w:rsidR="00F04774" w:rsidRDefault="00F04774" w:rsidP="00A10425">
      <w:pPr>
        <w:spacing w:after="0" w:line="240" w:lineRule="auto"/>
      </w:pPr>
      <w:r>
        <w:continuationSeparator/>
      </w:r>
    </w:p>
  </w:footnote>
  <w:footnote w:id="1">
    <w:p w14:paraId="049CCE37" w14:textId="77777777" w:rsidR="008F2CF9" w:rsidRPr="003D6250" w:rsidRDefault="008F2CF9" w:rsidP="003D6250">
      <w:pPr>
        <w:pStyle w:val="FootnoteText"/>
        <w:jc w:val="both"/>
        <w:rPr>
          <w:rFonts w:asciiTheme="majorBidi" w:hAnsiTheme="majorBidi" w:cstheme="majorBidi"/>
        </w:rPr>
      </w:pPr>
      <w:r w:rsidRPr="003D6250">
        <w:rPr>
          <w:rStyle w:val="FootnoteReference"/>
          <w:rFonts w:asciiTheme="majorBidi" w:hAnsiTheme="majorBidi" w:cstheme="majorBidi"/>
        </w:rPr>
        <w:footnoteRef/>
      </w:r>
      <w:r w:rsidRPr="003D6250">
        <w:rPr>
          <w:rFonts w:asciiTheme="majorBidi" w:hAnsiTheme="majorBidi" w:cstheme="majorBidi"/>
        </w:rPr>
        <w:t xml:space="preserve"> For example, see </w:t>
      </w:r>
      <w:hyperlink r:id="rId1" w:history="1">
        <w:r w:rsidRPr="003D6250">
          <w:rPr>
            <w:rStyle w:val="Hyperlink"/>
            <w:rFonts w:asciiTheme="majorBidi" w:hAnsiTheme="majorBidi" w:cstheme="majorBidi"/>
          </w:rPr>
          <w:t>https://www.stats.govt.nz/news/2018-census-data-release-delayed</w:t>
        </w:r>
      </w:hyperlink>
      <w:r w:rsidRPr="003D6250">
        <w:rPr>
          <w:rFonts w:asciiTheme="majorBidi" w:hAnsiTheme="majorBidi" w:cstheme="majorBidi"/>
        </w:rPr>
        <w:t xml:space="preserve">. </w:t>
      </w:r>
    </w:p>
  </w:footnote>
  <w:footnote w:id="2">
    <w:p w14:paraId="0E9FCD14" w14:textId="77777777" w:rsidR="008F2CF9" w:rsidRPr="003D6250" w:rsidRDefault="008F2CF9" w:rsidP="003D6250">
      <w:pPr>
        <w:pStyle w:val="FootnoteText"/>
        <w:jc w:val="both"/>
        <w:rPr>
          <w:rFonts w:asciiTheme="majorBidi" w:hAnsiTheme="majorBidi" w:cstheme="majorBidi"/>
        </w:rPr>
      </w:pPr>
      <w:r w:rsidRPr="003D6250">
        <w:rPr>
          <w:rStyle w:val="FootnoteReference"/>
          <w:rFonts w:asciiTheme="majorBidi" w:hAnsiTheme="majorBidi" w:cstheme="majorBidi"/>
        </w:rPr>
        <w:footnoteRef/>
      </w:r>
      <w:r w:rsidRPr="003D6250">
        <w:rPr>
          <w:rFonts w:asciiTheme="majorBidi" w:hAnsiTheme="majorBidi" w:cstheme="majorBidi"/>
        </w:rPr>
        <w:t xml:space="preserve"> See </w:t>
      </w:r>
      <w:hyperlink r:id="rId2" w:history="1">
        <w:r w:rsidRPr="003D6250">
          <w:rPr>
            <w:rStyle w:val="Hyperlink"/>
            <w:rFonts w:asciiTheme="majorBidi" w:hAnsiTheme="majorBidi" w:cstheme="majorBidi"/>
          </w:rPr>
          <w:t>https://www.stats.govt.nz/information-releases/subnational-population-estimates-at-30-june-2020</w:t>
        </w:r>
      </w:hyperlink>
      <w:r w:rsidRPr="003D6250">
        <w:rPr>
          <w:rFonts w:asciiTheme="majorBidi" w:hAnsiTheme="majorBidi" w:cstheme="majorBidi"/>
        </w:rPr>
        <w:t xml:space="preserve">. </w:t>
      </w:r>
    </w:p>
  </w:footnote>
  <w:footnote w:id="3">
    <w:p w14:paraId="238B3B7A" w14:textId="77777777" w:rsidR="008F2CF9" w:rsidRPr="003D6250" w:rsidRDefault="008F2CF9" w:rsidP="003D6250">
      <w:pPr>
        <w:pStyle w:val="FootnoteText"/>
        <w:jc w:val="both"/>
        <w:rPr>
          <w:rFonts w:asciiTheme="majorBidi" w:hAnsiTheme="majorBidi" w:cstheme="majorBidi"/>
        </w:rPr>
      </w:pPr>
      <w:r w:rsidRPr="003D6250">
        <w:rPr>
          <w:rStyle w:val="FootnoteReference"/>
          <w:rFonts w:asciiTheme="majorBidi" w:hAnsiTheme="majorBidi" w:cstheme="majorBidi"/>
        </w:rPr>
        <w:footnoteRef/>
      </w:r>
      <w:r w:rsidRPr="003D6250">
        <w:rPr>
          <w:rFonts w:asciiTheme="majorBidi" w:hAnsiTheme="majorBidi" w:cstheme="majorBidi"/>
        </w:rPr>
        <w:t xml:space="preserve"> For example, see </w:t>
      </w:r>
      <w:hyperlink r:id="rId3" w:history="1">
        <w:r w:rsidRPr="003D6250">
          <w:rPr>
            <w:rStyle w:val="Hyperlink"/>
            <w:rFonts w:asciiTheme="majorBidi" w:hAnsiTheme="majorBidi" w:cstheme="majorBidi"/>
          </w:rPr>
          <w:t>https://www.stats.govt.nz/news/new-zealands-birth-rate-lowest-on-record-deaths-drop-in-2020</w:t>
        </w:r>
      </w:hyperlink>
      <w:r w:rsidRPr="003D6250">
        <w:rPr>
          <w:rFonts w:asciiTheme="majorBidi" w:hAnsiTheme="majorBidi" w:cstheme="majorBidi"/>
        </w:rPr>
        <w:t xml:space="preserve">. </w:t>
      </w:r>
    </w:p>
  </w:footnote>
  <w:footnote w:id="4">
    <w:p w14:paraId="2F758E8A" w14:textId="77777777" w:rsidR="008F2CF9" w:rsidRPr="003D6250" w:rsidRDefault="008F2CF9" w:rsidP="003D6250">
      <w:pPr>
        <w:pStyle w:val="FootnoteText"/>
        <w:jc w:val="both"/>
        <w:rPr>
          <w:rFonts w:asciiTheme="majorBidi" w:hAnsiTheme="majorBidi" w:cstheme="majorBidi"/>
        </w:rPr>
      </w:pPr>
      <w:r w:rsidRPr="003D6250">
        <w:rPr>
          <w:rStyle w:val="FootnoteReference"/>
          <w:rFonts w:asciiTheme="majorBidi" w:hAnsiTheme="majorBidi" w:cstheme="majorBidi"/>
        </w:rPr>
        <w:footnoteRef/>
      </w:r>
      <w:r w:rsidRPr="003D6250">
        <w:rPr>
          <w:rFonts w:asciiTheme="majorBidi" w:hAnsiTheme="majorBidi" w:cstheme="majorBidi"/>
        </w:rPr>
        <w:t xml:space="preserve"> The address-five-years-ago question was not asked in the 2018 Census. Instead, an address-one-year-ago question was asked, and data on address-five-years-ago were constructed by SNZ from administrative data sources, as well as data from the 2013 Census. See </w:t>
      </w:r>
      <w:hyperlink r:id="rId4" w:history="1">
        <w:r w:rsidRPr="003D6250">
          <w:rPr>
            <w:rStyle w:val="Hyperlink"/>
            <w:rFonts w:asciiTheme="majorBidi" w:hAnsiTheme="majorBidi" w:cstheme="majorBidi"/>
          </w:rPr>
          <w:t>http://datainfoplus.stats.govt.nz/item/nz.govt.stats/58180123-b856-4fed-9b91-b006d16e43b8/13/</w:t>
        </w:r>
      </w:hyperlink>
      <w:r w:rsidRPr="003D6250">
        <w:rPr>
          <w:rFonts w:asciiTheme="majorBidi" w:hAnsiTheme="majorBidi" w:cstheme="majorBidi"/>
        </w:rPr>
        <w:t xml:space="preserve"> for further details.</w:t>
      </w:r>
    </w:p>
  </w:footnote>
  <w:footnote w:id="5">
    <w:p w14:paraId="4BEA0818" w14:textId="77777777" w:rsidR="000978B5" w:rsidRPr="003D6250" w:rsidRDefault="000978B5" w:rsidP="000978B5">
      <w:pPr>
        <w:pStyle w:val="FootnoteText"/>
        <w:jc w:val="both"/>
        <w:rPr>
          <w:rFonts w:asciiTheme="majorBidi" w:hAnsiTheme="majorBidi" w:cstheme="majorBidi"/>
        </w:rPr>
      </w:pPr>
      <w:r w:rsidRPr="003D6250">
        <w:rPr>
          <w:rStyle w:val="FootnoteReference"/>
          <w:rFonts w:asciiTheme="majorBidi" w:hAnsiTheme="majorBidi" w:cstheme="majorBidi"/>
        </w:rPr>
        <w:footnoteRef/>
      </w:r>
      <w:r w:rsidRPr="003D6250">
        <w:rPr>
          <w:rFonts w:asciiTheme="majorBidi" w:hAnsiTheme="majorBidi" w:cstheme="majorBidi"/>
        </w:rPr>
        <w:t xml:space="preserve"> See </w:t>
      </w:r>
      <w:hyperlink r:id="rId5" w:history="1">
        <w:r w:rsidRPr="003D6250">
          <w:rPr>
            <w:rStyle w:val="Hyperlink"/>
            <w:rFonts w:asciiTheme="majorBidi" w:hAnsiTheme="majorBidi" w:cstheme="majorBidi"/>
          </w:rPr>
          <w:t>http://www.ipss.go.jp/site-ad/index_english/population-e.html</w:t>
        </w:r>
      </w:hyperlink>
      <w:r w:rsidRPr="003D6250">
        <w:rPr>
          <w:rFonts w:asciiTheme="majorBidi" w:hAnsiTheme="majorBidi" w:cstheme="majorBidi"/>
        </w:rPr>
        <w:t xml:space="preserve">. </w:t>
      </w:r>
    </w:p>
  </w:footnote>
  <w:footnote w:id="6">
    <w:p w14:paraId="6C4550E4" w14:textId="77777777" w:rsidR="003D6250" w:rsidRPr="003D6250" w:rsidRDefault="003D6250" w:rsidP="003D6250">
      <w:pPr>
        <w:pStyle w:val="FootnoteText"/>
        <w:jc w:val="both"/>
        <w:rPr>
          <w:rFonts w:asciiTheme="majorBidi" w:hAnsiTheme="majorBidi" w:cstheme="majorBidi"/>
        </w:rPr>
      </w:pPr>
      <w:r w:rsidRPr="003D6250">
        <w:rPr>
          <w:rStyle w:val="FootnoteReference"/>
          <w:rFonts w:asciiTheme="majorBidi" w:hAnsiTheme="majorBidi" w:cstheme="majorBidi"/>
        </w:rPr>
        <w:footnoteRef/>
      </w:r>
      <w:r w:rsidRPr="003D6250">
        <w:rPr>
          <w:rFonts w:asciiTheme="majorBidi" w:hAnsiTheme="majorBidi" w:cstheme="majorBidi"/>
        </w:rPr>
        <w:t xml:space="preserve"> Emigrants are not observed in the Census because they have moved overseas.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11257" w14:textId="77777777" w:rsidR="00C90F17" w:rsidRDefault="00C90F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0998788"/>
      <w:docPartObj>
        <w:docPartGallery w:val="Watermarks"/>
        <w:docPartUnique/>
      </w:docPartObj>
    </w:sdtPr>
    <w:sdtEndPr/>
    <w:sdtContent>
      <w:p w14:paraId="7796CEE2" w14:textId="77777777" w:rsidR="00C90F17" w:rsidRDefault="00F04774">
        <w:pPr>
          <w:pStyle w:val="Header"/>
        </w:pPr>
        <w:r>
          <w:rPr>
            <w:noProof/>
            <w:lang w:val="en-US" w:eastAsia="en-US"/>
          </w:rPr>
          <w:pict w14:anchorId="275F0D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F2B78" w14:textId="77777777" w:rsidR="00C90F17" w:rsidRDefault="00C90F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F5B8D"/>
    <w:multiLevelType w:val="hybridMultilevel"/>
    <w:tmpl w:val="D86E6F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AFF1894"/>
    <w:multiLevelType w:val="hybridMultilevel"/>
    <w:tmpl w:val="5A4A21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05B2BF1"/>
    <w:multiLevelType w:val="hybridMultilevel"/>
    <w:tmpl w:val="1F2ADD9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43A31F8"/>
    <w:multiLevelType w:val="hybridMultilevel"/>
    <w:tmpl w:val="C21E8B0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35F3570"/>
    <w:multiLevelType w:val="hybridMultilevel"/>
    <w:tmpl w:val="58BC9466"/>
    <w:lvl w:ilvl="0" w:tplc="14090011">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 w15:restartNumberingAfterBreak="0">
    <w:nsid w:val="25CF3B7D"/>
    <w:multiLevelType w:val="hybridMultilevel"/>
    <w:tmpl w:val="1F2ADD9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4BB3327"/>
    <w:multiLevelType w:val="hybridMultilevel"/>
    <w:tmpl w:val="07A0C51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A0D3284"/>
    <w:multiLevelType w:val="hybridMultilevel"/>
    <w:tmpl w:val="D9DE9E2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D3A0FF6"/>
    <w:multiLevelType w:val="hybridMultilevel"/>
    <w:tmpl w:val="C9AA116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45907683"/>
    <w:multiLevelType w:val="hybridMultilevel"/>
    <w:tmpl w:val="8EA0F4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FB63A7E"/>
    <w:multiLevelType w:val="hybridMultilevel"/>
    <w:tmpl w:val="3DD8E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FC15E9E"/>
    <w:multiLevelType w:val="hybridMultilevel"/>
    <w:tmpl w:val="D6A4CDB8"/>
    <w:lvl w:ilvl="0" w:tplc="89B45DA4">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15:restartNumberingAfterBreak="0">
    <w:nsid w:val="500C1674"/>
    <w:multiLevelType w:val="hybridMultilevel"/>
    <w:tmpl w:val="110418BE"/>
    <w:lvl w:ilvl="0" w:tplc="7154128E">
      <w:start w:val="1"/>
      <w:numFmt w:val="decimal"/>
      <w:pStyle w:val="Heading2"/>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53E423D8"/>
    <w:multiLevelType w:val="hybridMultilevel"/>
    <w:tmpl w:val="1F2ADD9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5C75390D"/>
    <w:multiLevelType w:val="hybridMultilevel"/>
    <w:tmpl w:val="C9AA116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EAD6841"/>
    <w:multiLevelType w:val="hybridMultilevel"/>
    <w:tmpl w:val="E660852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0310884"/>
    <w:multiLevelType w:val="hybridMultilevel"/>
    <w:tmpl w:val="17E89492"/>
    <w:lvl w:ilvl="0" w:tplc="1F961D6C">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7" w15:restartNumberingAfterBreak="0">
    <w:nsid w:val="60601771"/>
    <w:multiLevelType w:val="hybridMultilevel"/>
    <w:tmpl w:val="E8C8E9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5C03E36"/>
    <w:multiLevelType w:val="hybridMultilevel"/>
    <w:tmpl w:val="354644F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B073474"/>
    <w:multiLevelType w:val="hybridMultilevel"/>
    <w:tmpl w:val="C9AA116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76DA4CCF"/>
    <w:multiLevelType w:val="hybridMultilevel"/>
    <w:tmpl w:val="78BAEA40"/>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1"/>
  </w:num>
  <w:num w:numId="2">
    <w:abstractNumId w:val="4"/>
  </w:num>
  <w:num w:numId="3">
    <w:abstractNumId w:val="20"/>
  </w:num>
  <w:num w:numId="4">
    <w:abstractNumId w:val="18"/>
  </w:num>
  <w:num w:numId="5">
    <w:abstractNumId w:val="16"/>
  </w:num>
  <w:num w:numId="6">
    <w:abstractNumId w:val="8"/>
  </w:num>
  <w:num w:numId="7">
    <w:abstractNumId w:val="19"/>
  </w:num>
  <w:num w:numId="8">
    <w:abstractNumId w:val="6"/>
  </w:num>
  <w:num w:numId="9">
    <w:abstractNumId w:val="14"/>
  </w:num>
  <w:num w:numId="10">
    <w:abstractNumId w:val="2"/>
  </w:num>
  <w:num w:numId="11">
    <w:abstractNumId w:val="5"/>
  </w:num>
  <w:num w:numId="12">
    <w:abstractNumId w:val="13"/>
  </w:num>
  <w:num w:numId="13">
    <w:abstractNumId w:val="10"/>
  </w:num>
  <w:num w:numId="14">
    <w:abstractNumId w:val="3"/>
  </w:num>
  <w:num w:numId="15">
    <w:abstractNumId w:val="0"/>
  </w:num>
  <w:num w:numId="16">
    <w:abstractNumId w:val="1"/>
  </w:num>
  <w:num w:numId="17">
    <w:abstractNumId w:val="9"/>
  </w:num>
  <w:num w:numId="18">
    <w:abstractNumId w:val="7"/>
  </w:num>
  <w:num w:numId="19">
    <w:abstractNumId w:val="15"/>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NZ" w:vendorID="64" w:dllVersion="6" w:nlCheck="1" w:checkStyle="1"/>
  <w:activeWritingStyle w:appName="MSWord" w:lang="en-US" w:vendorID="64" w:dllVersion="6" w:nlCheck="1" w:checkStyle="1"/>
  <w:activeWritingStyle w:appName="MSWord" w:lang="en-US" w:vendorID="64" w:dllVersion="0" w:nlCheck="1" w:checkStyle="0"/>
  <w:activeWritingStyle w:appName="MSWord" w:lang="en-NZ"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25"/>
    <w:rsid w:val="00003007"/>
    <w:rsid w:val="0000644C"/>
    <w:rsid w:val="000071DC"/>
    <w:rsid w:val="00007355"/>
    <w:rsid w:val="000079B5"/>
    <w:rsid w:val="00013E01"/>
    <w:rsid w:val="000160A1"/>
    <w:rsid w:val="000163EB"/>
    <w:rsid w:val="00034A53"/>
    <w:rsid w:val="00036CF4"/>
    <w:rsid w:val="00045D31"/>
    <w:rsid w:val="00046B87"/>
    <w:rsid w:val="0004757B"/>
    <w:rsid w:val="0005307A"/>
    <w:rsid w:val="00064C76"/>
    <w:rsid w:val="0006594D"/>
    <w:rsid w:val="00066040"/>
    <w:rsid w:val="00066C2B"/>
    <w:rsid w:val="00067ABE"/>
    <w:rsid w:val="000727CA"/>
    <w:rsid w:val="00073388"/>
    <w:rsid w:val="00074527"/>
    <w:rsid w:val="00074905"/>
    <w:rsid w:val="00077896"/>
    <w:rsid w:val="00077D3B"/>
    <w:rsid w:val="00083B89"/>
    <w:rsid w:val="00084DB6"/>
    <w:rsid w:val="000863E7"/>
    <w:rsid w:val="00086698"/>
    <w:rsid w:val="000934C5"/>
    <w:rsid w:val="000978B5"/>
    <w:rsid w:val="000A4146"/>
    <w:rsid w:val="000A4577"/>
    <w:rsid w:val="000B1E3A"/>
    <w:rsid w:val="000B1FAF"/>
    <w:rsid w:val="000B3B99"/>
    <w:rsid w:val="000B56BC"/>
    <w:rsid w:val="000B5E5D"/>
    <w:rsid w:val="000B6CB7"/>
    <w:rsid w:val="000B75FA"/>
    <w:rsid w:val="000C0B40"/>
    <w:rsid w:val="000C727D"/>
    <w:rsid w:val="000D2153"/>
    <w:rsid w:val="000D7D03"/>
    <w:rsid w:val="000D7E52"/>
    <w:rsid w:val="000E3463"/>
    <w:rsid w:val="000E422C"/>
    <w:rsid w:val="000F1AB1"/>
    <w:rsid w:val="000F375C"/>
    <w:rsid w:val="00107CB9"/>
    <w:rsid w:val="001105F0"/>
    <w:rsid w:val="00110AED"/>
    <w:rsid w:val="001117A2"/>
    <w:rsid w:val="0011433D"/>
    <w:rsid w:val="00116526"/>
    <w:rsid w:val="00116950"/>
    <w:rsid w:val="00121329"/>
    <w:rsid w:val="001224AC"/>
    <w:rsid w:val="00124381"/>
    <w:rsid w:val="00125018"/>
    <w:rsid w:val="00125381"/>
    <w:rsid w:val="0012622A"/>
    <w:rsid w:val="0012635D"/>
    <w:rsid w:val="00126B12"/>
    <w:rsid w:val="001320C6"/>
    <w:rsid w:val="00132238"/>
    <w:rsid w:val="001343CA"/>
    <w:rsid w:val="0013558C"/>
    <w:rsid w:val="0014191B"/>
    <w:rsid w:val="001421D0"/>
    <w:rsid w:val="00143399"/>
    <w:rsid w:val="001450AA"/>
    <w:rsid w:val="00145396"/>
    <w:rsid w:val="00145DF5"/>
    <w:rsid w:val="00146528"/>
    <w:rsid w:val="00146D28"/>
    <w:rsid w:val="00150539"/>
    <w:rsid w:val="00151E48"/>
    <w:rsid w:val="001549F4"/>
    <w:rsid w:val="00155F32"/>
    <w:rsid w:val="00156EE2"/>
    <w:rsid w:val="001670E4"/>
    <w:rsid w:val="00172850"/>
    <w:rsid w:val="00172D4F"/>
    <w:rsid w:val="001732DA"/>
    <w:rsid w:val="00175B29"/>
    <w:rsid w:val="00180BD1"/>
    <w:rsid w:val="00183C8A"/>
    <w:rsid w:val="00186AB1"/>
    <w:rsid w:val="00192FCC"/>
    <w:rsid w:val="001937D3"/>
    <w:rsid w:val="00193F04"/>
    <w:rsid w:val="00195C4B"/>
    <w:rsid w:val="00196504"/>
    <w:rsid w:val="001A3EB8"/>
    <w:rsid w:val="001A57DB"/>
    <w:rsid w:val="001B0B59"/>
    <w:rsid w:val="001B2DD7"/>
    <w:rsid w:val="001B382F"/>
    <w:rsid w:val="001C1105"/>
    <w:rsid w:val="001C1E2D"/>
    <w:rsid w:val="001C4663"/>
    <w:rsid w:val="001C6216"/>
    <w:rsid w:val="001C7BA9"/>
    <w:rsid w:val="001D1778"/>
    <w:rsid w:val="001D58A4"/>
    <w:rsid w:val="001D7D51"/>
    <w:rsid w:val="001E0459"/>
    <w:rsid w:val="001E3D52"/>
    <w:rsid w:val="001E4CB4"/>
    <w:rsid w:val="001E75F4"/>
    <w:rsid w:val="001F1121"/>
    <w:rsid w:val="001F2FE4"/>
    <w:rsid w:val="00206EB2"/>
    <w:rsid w:val="00207662"/>
    <w:rsid w:val="00217C07"/>
    <w:rsid w:val="00220E47"/>
    <w:rsid w:val="00225147"/>
    <w:rsid w:val="00227BA9"/>
    <w:rsid w:val="00230FAF"/>
    <w:rsid w:val="00231311"/>
    <w:rsid w:val="00234A26"/>
    <w:rsid w:val="00235751"/>
    <w:rsid w:val="00235854"/>
    <w:rsid w:val="00236228"/>
    <w:rsid w:val="00236678"/>
    <w:rsid w:val="00242CCA"/>
    <w:rsid w:val="002434AE"/>
    <w:rsid w:val="002460AA"/>
    <w:rsid w:val="00247684"/>
    <w:rsid w:val="00247A48"/>
    <w:rsid w:val="0025389C"/>
    <w:rsid w:val="00253F68"/>
    <w:rsid w:val="0025423B"/>
    <w:rsid w:val="00256A89"/>
    <w:rsid w:val="002647D1"/>
    <w:rsid w:val="00264AF2"/>
    <w:rsid w:val="00265E30"/>
    <w:rsid w:val="0027042D"/>
    <w:rsid w:val="00270CD7"/>
    <w:rsid w:val="00280161"/>
    <w:rsid w:val="002805F0"/>
    <w:rsid w:val="00281203"/>
    <w:rsid w:val="002817B9"/>
    <w:rsid w:val="00282795"/>
    <w:rsid w:val="00282E21"/>
    <w:rsid w:val="00285A7E"/>
    <w:rsid w:val="00286C5E"/>
    <w:rsid w:val="002877F8"/>
    <w:rsid w:val="002903F3"/>
    <w:rsid w:val="002933CB"/>
    <w:rsid w:val="00294AE9"/>
    <w:rsid w:val="00297F41"/>
    <w:rsid w:val="002A128E"/>
    <w:rsid w:val="002A172C"/>
    <w:rsid w:val="002A2292"/>
    <w:rsid w:val="002A22E0"/>
    <w:rsid w:val="002A683B"/>
    <w:rsid w:val="002B2549"/>
    <w:rsid w:val="002B6418"/>
    <w:rsid w:val="002B67C6"/>
    <w:rsid w:val="002C0B7B"/>
    <w:rsid w:val="002E0859"/>
    <w:rsid w:val="002E30F5"/>
    <w:rsid w:val="002E4F5D"/>
    <w:rsid w:val="002E7C17"/>
    <w:rsid w:val="002F33D8"/>
    <w:rsid w:val="002F3EB1"/>
    <w:rsid w:val="002F464A"/>
    <w:rsid w:val="002F7326"/>
    <w:rsid w:val="0030014D"/>
    <w:rsid w:val="00300DDE"/>
    <w:rsid w:val="00301D56"/>
    <w:rsid w:val="00301F67"/>
    <w:rsid w:val="003029EA"/>
    <w:rsid w:val="00304EF4"/>
    <w:rsid w:val="00307834"/>
    <w:rsid w:val="00307AAB"/>
    <w:rsid w:val="003133AB"/>
    <w:rsid w:val="00313D84"/>
    <w:rsid w:val="00316A8C"/>
    <w:rsid w:val="0033264C"/>
    <w:rsid w:val="00335064"/>
    <w:rsid w:val="00336DBA"/>
    <w:rsid w:val="00343B7A"/>
    <w:rsid w:val="00344B4F"/>
    <w:rsid w:val="00346AB4"/>
    <w:rsid w:val="00347192"/>
    <w:rsid w:val="00360313"/>
    <w:rsid w:val="0036105E"/>
    <w:rsid w:val="00371C35"/>
    <w:rsid w:val="00374C47"/>
    <w:rsid w:val="003767E2"/>
    <w:rsid w:val="00376FE2"/>
    <w:rsid w:val="00376FFB"/>
    <w:rsid w:val="00382D1F"/>
    <w:rsid w:val="00386D54"/>
    <w:rsid w:val="00394558"/>
    <w:rsid w:val="003953B3"/>
    <w:rsid w:val="003A0E05"/>
    <w:rsid w:val="003A2ABA"/>
    <w:rsid w:val="003A46D2"/>
    <w:rsid w:val="003A6741"/>
    <w:rsid w:val="003B052A"/>
    <w:rsid w:val="003B2FD3"/>
    <w:rsid w:val="003B45CC"/>
    <w:rsid w:val="003B46DF"/>
    <w:rsid w:val="003B483E"/>
    <w:rsid w:val="003B6A7B"/>
    <w:rsid w:val="003C2D7E"/>
    <w:rsid w:val="003C4AAF"/>
    <w:rsid w:val="003C61E5"/>
    <w:rsid w:val="003D6250"/>
    <w:rsid w:val="003E10AA"/>
    <w:rsid w:val="003E1E2D"/>
    <w:rsid w:val="003E56D2"/>
    <w:rsid w:val="003E63AD"/>
    <w:rsid w:val="003E79DE"/>
    <w:rsid w:val="003F298E"/>
    <w:rsid w:val="003F4B03"/>
    <w:rsid w:val="003F703D"/>
    <w:rsid w:val="004015EA"/>
    <w:rsid w:val="00403E24"/>
    <w:rsid w:val="0040631F"/>
    <w:rsid w:val="004114C4"/>
    <w:rsid w:val="00411871"/>
    <w:rsid w:val="00413DE9"/>
    <w:rsid w:val="00417CB1"/>
    <w:rsid w:val="00422D14"/>
    <w:rsid w:val="00423E4E"/>
    <w:rsid w:val="004265F7"/>
    <w:rsid w:val="0042776F"/>
    <w:rsid w:val="00430488"/>
    <w:rsid w:val="00430748"/>
    <w:rsid w:val="00433C05"/>
    <w:rsid w:val="004414B6"/>
    <w:rsid w:val="00442D24"/>
    <w:rsid w:val="00442DB8"/>
    <w:rsid w:val="0044508A"/>
    <w:rsid w:val="00450CD4"/>
    <w:rsid w:val="004537B3"/>
    <w:rsid w:val="004538DA"/>
    <w:rsid w:val="004557AD"/>
    <w:rsid w:val="004566B8"/>
    <w:rsid w:val="00463D7E"/>
    <w:rsid w:val="00464D16"/>
    <w:rsid w:val="0047107B"/>
    <w:rsid w:val="0047214A"/>
    <w:rsid w:val="004739F6"/>
    <w:rsid w:val="00473D50"/>
    <w:rsid w:val="004740C5"/>
    <w:rsid w:val="0047679E"/>
    <w:rsid w:val="0047684E"/>
    <w:rsid w:val="00476D1B"/>
    <w:rsid w:val="00483894"/>
    <w:rsid w:val="0048401A"/>
    <w:rsid w:val="00486F2B"/>
    <w:rsid w:val="00490460"/>
    <w:rsid w:val="004948BF"/>
    <w:rsid w:val="00494B21"/>
    <w:rsid w:val="004955DC"/>
    <w:rsid w:val="00497C48"/>
    <w:rsid w:val="004A3AFE"/>
    <w:rsid w:val="004A3C95"/>
    <w:rsid w:val="004B4569"/>
    <w:rsid w:val="004B4DC7"/>
    <w:rsid w:val="004C1B7B"/>
    <w:rsid w:val="004C53BE"/>
    <w:rsid w:val="004C55AF"/>
    <w:rsid w:val="004D090B"/>
    <w:rsid w:val="004D0FDA"/>
    <w:rsid w:val="004D1AD8"/>
    <w:rsid w:val="004D20EE"/>
    <w:rsid w:val="004D4B05"/>
    <w:rsid w:val="004D688E"/>
    <w:rsid w:val="004E1A0D"/>
    <w:rsid w:val="004E1ABF"/>
    <w:rsid w:val="004E4762"/>
    <w:rsid w:val="004E5401"/>
    <w:rsid w:val="004E56AE"/>
    <w:rsid w:val="004E5C6B"/>
    <w:rsid w:val="004E7937"/>
    <w:rsid w:val="004F16E6"/>
    <w:rsid w:val="004F1726"/>
    <w:rsid w:val="004F626E"/>
    <w:rsid w:val="005010E6"/>
    <w:rsid w:val="005109A9"/>
    <w:rsid w:val="00511A0F"/>
    <w:rsid w:val="005139C7"/>
    <w:rsid w:val="00514F27"/>
    <w:rsid w:val="00516020"/>
    <w:rsid w:val="00517E38"/>
    <w:rsid w:val="00520707"/>
    <w:rsid w:val="00521518"/>
    <w:rsid w:val="00521C71"/>
    <w:rsid w:val="005250BA"/>
    <w:rsid w:val="0052571D"/>
    <w:rsid w:val="00526535"/>
    <w:rsid w:val="0052663D"/>
    <w:rsid w:val="005274CC"/>
    <w:rsid w:val="005314E4"/>
    <w:rsid w:val="00535EA7"/>
    <w:rsid w:val="00537D28"/>
    <w:rsid w:val="005404F9"/>
    <w:rsid w:val="00542627"/>
    <w:rsid w:val="00560A0B"/>
    <w:rsid w:val="00562F7E"/>
    <w:rsid w:val="0056324B"/>
    <w:rsid w:val="00563F1D"/>
    <w:rsid w:val="00564F20"/>
    <w:rsid w:val="00565D36"/>
    <w:rsid w:val="00567975"/>
    <w:rsid w:val="00581945"/>
    <w:rsid w:val="00583AC2"/>
    <w:rsid w:val="005843B5"/>
    <w:rsid w:val="00585DA7"/>
    <w:rsid w:val="00596D19"/>
    <w:rsid w:val="00597F10"/>
    <w:rsid w:val="005A190E"/>
    <w:rsid w:val="005A3046"/>
    <w:rsid w:val="005A357E"/>
    <w:rsid w:val="005A76BE"/>
    <w:rsid w:val="005B04E4"/>
    <w:rsid w:val="005B1025"/>
    <w:rsid w:val="005B2B10"/>
    <w:rsid w:val="005B2C2B"/>
    <w:rsid w:val="005B340C"/>
    <w:rsid w:val="005B58C0"/>
    <w:rsid w:val="005C4352"/>
    <w:rsid w:val="005C485D"/>
    <w:rsid w:val="005D29FB"/>
    <w:rsid w:val="005D4731"/>
    <w:rsid w:val="005D5540"/>
    <w:rsid w:val="005D6097"/>
    <w:rsid w:val="005E13A3"/>
    <w:rsid w:val="005E672F"/>
    <w:rsid w:val="005F002A"/>
    <w:rsid w:val="005F1800"/>
    <w:rsid w:val="005F3A71"/>
    <w:rsid w:val="005F61D9"/>
    <w:rsid w:val="005F6A74"/>
    <w:rsid w:val="006142E3"/>
    <w:rsid w:val="00616B7A"/>
    <w:rsid w:val="00620434"/>
    <w:rsid w:val="006240CE"/>
    <w:rsid w:val="0062666D"/>
    <w:rsid w:val="0062789E"/>
    <w:rsid w:val="0063603D"/>
    <w:rsid w:val="00637D67"/>
    <w:rsid w:val="006421B9"/>
    <w:rsid w:val="00646C30"/>
    <w:rsid w:val="00652492"/>
    <w:rsid w:val="00652C59"/>
    <w:rsid w:val="0066297C"/>
    <w:rsid w:val="006670CD"/>
    <w:rsid w:val="00671757"/>
    <w:rsid w:val="00672226"/>
    <w:rsid w:val="00676358"/>
    <w:rsid w:val="00676678"/>
    <w:rsid w:val="006806E3"/>
    <w:rsid w:val="006825F1"/>
    <w:rsid w:val="0068577C"/>
    <w:rsid w:val="00691357"/>
    <w:rsid w:val="006917AD"/>
    <w:rsid w:val="00693D6C"/>
    <w:rsid w:val="00695B01"/>
    <w:rsid w:val="00696112"/>
    <w:rsid w:val="00696377"/>
    <w:rsid w:val="00697311"/>
    <w:rsid w:val="006A665C"/>
    <w:rsid w:val="006A6959"/>
    <w:rsid w:val="006A74D5"/>
    <w:rsid w:val="006A7C81"/>
    <w:rsid w:val="006A7F5D"/>
    <w:rsid w:val="006B018D"/>
    <w:rsid w:val="006B0482"/>
    <w:rsid w:val="006B4AFB"/>
    <w:rsid w:val="006B4F05"/>
    <w:rsid w:val="006B55EB"/>
    <w:rsid w:val="006C0CBE"/>
    <w:rsid w:val="006C17F6"/>
    <w:rsid w:val="006C2F2C"/>
    <w:rsid w:val="006C3207"/>
    <w:rsid w:val="006C6C2C"/>
    <w:rsid w:val="006E0F96"/>
    <w:rsid w:val="006E25F4"/>
    <w:rsid w:val="006E6268"/>
    <w:rsid w:val="0070717D"/>
    <w:rsid w:val="00710569"/>
    <w:rsid w:val="007106D5"/>
    <w:rsid w:val="00711D3B"/>
    <w:rsid w:val="00713DC6"/>
    <w:rsid w:val="007152EC"/>
    <w:rsid w:val="00721C5C"/>
    <w:rsid w:val="00726EE7"/>
    <w:rsid w:val="00731E99"/>
    <w:rsid w:val="00733A6C"/>
    <w:rsid w:val="00733E37"/>
    <w:rsid w:val="00734085"/>
    <w:rsid w:val="00734D74"/>
    <w:rsid w:val="0073645E"/>
    <w:rsid w:val="007368E5"/>
    <w:rsid w:val="007369D3"/>
    <w:rsid w:val="007427F0"/>
    <w:rsid w:val="00742868"/>
    <w:rsid w:val="007433F7"/>
    <w:rsid w:val="00743ED0"/>
    <w:rsid w:val="0074684D"/>
    <w:rsid w:val="00750B64"/>
    <w:rsid w:val="00751413"/>
    <w:rsid w:val="007529F5"/>
    <w:rsid w:val="00756EB5"/>
    <w:rsid w:val="00761262"/>
    <w:rsid w:val="0076538C"/>
    <w:rsid w:val="00765620"/>
    <w:rsid w:val="00765937"/>
    <w:rsid w:val="007732DE"/>
    <w:rsid w:val="00773CB9"/>
    <w:rsid w:val="007760AF"/>
    <w:rsid w:val="0078357C"/>
    <w:rsid w:val="00786C43"/>
    <w:rsid w:val="00793B9C"/>
    <w:rsid w:val="007A27F6"/>
    <w:rsid w:val="007A301E"/>
    <w:rsid w:val="007A5350"/>
    <w:rsid w:val="007A7EA9"/>
    <w:rsid w:val="007C0D30"/>
    <w:rsid w:val="007C39CE"/>
    <w:rsid w:val="007C3C21"/>
    <w:rsid w:val="007C691D"/>
    <w:rsid w:val="007C7F57"/>
    <w:rsid w:val="007D2A9B"/>
    <w:rsid w:val="007E10B4"/>
    <w:rsid w:val="007E2DF5"/>
    <w:rsid w:val="007F1909"/>
    <w:rsid w:val="00805560"/>
    <w:rsid w:val="00805FC0"/>
    <w:rsid w:val="008104A3"/>
    <w:rsid w:val="0081725C"/>
    <w:rsid w:val="00822588"/>
    <w:rsid w:val="008248F6"/>
    <w:rsid w:val="00826A78"/>
    <w:rsid w:val="0082765A"/>
    <w:rsid w:val="00830A4A"/>
    <w:rsid w:val="00840A1B"/>
    <w:rsid w:val="0084360A"/>
    <w:rsid w:val="00845A57"/>
    <w:rsid w:val="0084629D"/>
    <w:rsid w:val="00846E4C"/>
    <w:rsid w:val="00850511"/>
    <w:rsid w:val="00850C90"/>
    <w:rsid w:val="00851E78"/>
    <w:rsid w:val="00853288"/>
    <w:rsid w:val="00853796"/>
    <w:rsid w:val="00854740"/>
    <w:rsid w:val="00856DE8"/>
    <w:rsid w:val="00860F8A"/>
    <w:rsid w:val="00863E53"/>
    <w:rsid w:val="00865882"/>
    <w:rsid w:val="008702F9"/>
    <w:rsid w:val="008736EE"/>
    <w:rsid w:val="008757F7"/>
    <w:rsid w:val="00875B0D"/>
    <w:rsid w:val="008814AD"/>
    <w:rsid w:val="00882EC9"/>
    <w:rsid w:val="008845BC"/>
    <w:rsid w:val="008853CA"/>
    <w:rsid w:val="0089076C"/>
    <w:rsid w:val="00893F39"/>
    <w:rsid w:val="008971E0"/>
    <w:rsid w:val="008A1084"/>
    <w:rsid w:val="008B0DBC"/>
    <w:rsid w:val="008B3342"/>
    <w:rsid w:val="008B3892"/>
    <w:rsid w:val="008B3F65"/>
    <w:rsid w:val="008B65DC"/>
    <w:rsid w:val="008C0985"/>
    <w:rsid w:val="008C4851"/>
    <w:rsid w:val="008C603F"/>
    <w:rsid w:val="008D0147"/>
    <w:rsid w:val="008D4440"/>
    <w:rsid w:val="008D4C04"/>
    <w:rsid w:val="008D6270"/>
    <w:rsid w:val="008E43EA"/>
    <w:rsid w:val="008E7AAE"/>
    <w:rsid w:val="008F0CA1"/>
    <w:rsid w:val="008F2CF9"/>
    <w:rsid w:val="0090131D"/>
    <w:rsid w:val="009026E9"/>
    <w:rsid w:val="00905186"/>
    <w:rsid w:val="00905CA9"/>
    <w:rsid w:val="00906078"/>
    <w:rsid w:val="00906E52"/>
    <w:rsid w:val="00910976"/>
    <w:rsid w:val="009118C0"/>
    <w:rsid w:val="00913F6C"/>
    <w:rsid w:val="00914917"/>
    <w:rsid w:val="00914DA5"/>
    <w:rsid w:val="00914E39"/>
    <w:rsid w:val="009250ED"/>
    <w:rsid w:val="00925DD9"/>
    <w:rsid w:val="009334DC"/>
    <w:rsid w:val="009358AC"/>
    <w:rsid w:val="00936841"/>
    <w:rsid w:val="00942A01"/>
    <w:rsid w:val="00951356"/>
    <w:rsid w:val="00952B62"/>
    <w:rsid w:val="00953371"/>
    <w:rsid w:val="00953E5D"/>
    <w:rsid w:val="00955209"/>
    <w:rsid w:val="00957414"/>
    <w:rsid w:val="009610AC"/>
    <w:rsid w:val="009631CD"/>
    <w:rsid w:val="00973088"/>
    <w:rsid w:val="0097329E"/>
    <w:rsid w:val="00977D84"/>
    <w:rsid w:val="00982074"/>
    <w:rsid w:val="00983316"/>
    <w:rsid w:val="00985CC8"/>
    <w:rsid w:val="0098763A"/>
    <w:rsid w:val="00987B22"/>
    <w:rsid w:val="00990292"/>
    <w:rsid w:val="00990CC4"/>
    <w:rsid w:val="00991D52"/>
    <w:rsid w:val="00996A57"/>
    <w:rsid w:val="0099778A"/>
    <w:rsid w:val="009A405E"/>
    <w:rsid w:val="009A765C"/>
    <w:rsid w:val="009B440C"/>
    <w:rsid w:val="009B47F4"/>
    <w:rsid w:val="009B5A8E"/>
    <w:rsid w:val="009B5B6A"/>
    <w:rsid w:val="009C36F5"/>
    <w:rsid w:val="009C680A"/>
    <w:rsid w:val="009D4EBD"/>
    <w:rsid w:val="009D5B7A"/>
    <w:rsid w:val="009D6075"/>
    <w:rsid w:val="009E397F"/>
    <w:rsid w:val="009F00F1"/>
    <w:rsid w:val="00A03FED"/>
    <w:rsid w:val="00A04F3F"/>
    <w:rsid w:val="00A07C84"/>
    <w:rsid w:val="00A07C8B"/>
    <w:rsid w:val="00A10425"/>
    <w:rsid w:val="00A111B9"/>
    <w:rsid w:val="00A13B32"/>
    <w:rsid w:val="00A158BE"/>
    <w:rsid w:val="00A20F6F"/>
    <w:rsid w:val="00A21DCE"/>
    <w:rsid w:val="00A230F6"/>
    <w:rsid w:val="00A24A3E"/>
    <w:rsid w:val="00A26DE5"/>
    <w:rsid w:val="00A273C9"/>
    <w:rsid w:val="00A27695"/>
    <w:rsid w:val="00A30569"/>
    <w:rsid w:val="00A316E4"/>
    <w:rsid w:val="00A32C8F"/>
    <w:rsid w:val="00A3540A"/>
    <w:rsid w:val="00A41F5E"/>
    <w:rsid w:val="00A43439"/>
    <w:rsid w:val="00A44E0B"/>
    <w:rsid w:val="00A50BA7"/>
    <w:rsid w:val="00A51A25"/>
    <w:rsid w:val="00A539AC"/>
    <w:rsid w:val="00A5562D"/>
    <w:rsid w:val="00A60465"/>
    <w:rsid w:val="00A64067"/>
    <w:rsid w:val="00A663C7"/>
    <w:rsid w:val="00A731BE"/>
    <w:rsid w:val="00A73236"/>
    <w:rsid w:val="00A74D03"/>
    <w:rsid w:val="00A75DBA"/>
    <w:rsid w:val="00A80343"/>
    <w:rsid w:val="00A81B5A"/>
    <w:rsid w:val="00A8558F"/>
    <w:rsid w:val="00A90E92"/>
    <w:rsid w:val="00A9434E"/>
    <w:rsid w:val="00A951B7"/>
    <w:rsid w:val="00A959D3"/>
    <w:rsid w:val="00AA00CA"/>
    <w:rsid w:val="00AA20AA"/>
    <w:rsid w:val="00AA3608"/>
    <w:rsid w:val="00AA4614"/>
    <w:rsid w:val="00AA7298"/>
    <w:rsid w:val="00AB1975"/>
    <w:rsid w:val="00AB1DD3"/>
    <w:rsid w:val="00AB368E"/>
    <w:rsid w:val="00AB60D5"/>
    <w:rsid w:val="00AB692F"/>
    <w:rsid w:val="00AB7105"/>
    <w:rsid w:val="00AD340D"/>
    <w:rsid w:val="00AD47FF"/>
    <w:rsid w:val="00AD4FF4"/>
    <w:rsid w:val="00AD6478"/>
    <w:rsid w:val="00AD6B6E"/>
    <w:rsid w:val="00AD7D67"/>
    <w:rsid w:val="00AE1103"/>
    <w:rsid w:val="00AE3839"/>
    <w:rsid w:val="00AE42B7"/>
    <w:rsid w:val="00AE5ED9"/>
    <w:rsid w:val="00B01105"/>
    <w:rsid w:val="00B0349D"/>
    <w:rsid w:val="00B0451D"/>
    <w:rsid w:val="00B0705D"/>
    <w:rsid w:val="00B12C26"/>
    <w:rsid w:val="00B145E8"/>
    <w:rsid w:val="00B148AA"/>
    <w:rsid w:val="00B14D39"/>
    <w:rsid w:val="00B160E4"/>
    <w:rsid w:val="00B17DAC"/>
    <w:rsid w:val="00B227EE"/>
    <w:rsid w:val="00B24C6F"/>
    <w:rsid w:val="00B266F1"/>
    <w:rsid w:val="00B306F6"/>
    <w:rsid w:val="00B31C27"/>
    <w:rsid w:val="00B321B7"/>
    <w:rsid w:val="00B34A85"/>
    <w:rsid w:val="00B40B20"/>
    <w:rsid w:val="00B439E9"/>
    <w:rsid w:val="00B44B8E"/>
    <w:rsid w:val="00B46FE0"/>
    <w:rsid w:val="00B519E3"/>
    <w:rsid w:val="00B54479"/>
    <w:rsid w:val="00B5600F"/>
    <w:rsid w:val="00B5646B"/>
    <w:rsid w:val="00B60483"/>
    <w:rsid w:val="00B606C8"/>
    <w:rsid w:val="00B628F5"/>
    <w:rsid w:val="00B722D0"/>
    <w:rsid w:val="00B77319"/>
    <w:rsid w:val="00B77D88"/>
    <w:rsid w:val="00B77F77"/>
    <w:rsid w:val="00B801D6"/>
    <w:rsid w:val="00B80EB8"/>
    <w:rsid w:val="00B86206"/>
    <w:rsid w:val="00B877FD"/>
    <w:rsid w:val="00B87AB1"/>
    <w:rsid w:val="00B91997"/>
    <w:rsid w:val="00B91F81"/>
    <w:rsid w:val="00B92F16"/>
    <w:rsid w:val="00BA12B5"/>
    <w:rsid w:val="00BB7807"/>
    <w:rsid w:val="00BB7896"/>
    <w:rsid w:val="00BC42FB"/>
    <w:rsid w:val="00BC5BF4"/>
    <w:rsid w:val="00BD684E"/>
    <w:rsid w:val="00BE1420"/>
    <w:rsid w:val="00BE2155"/>
    <w:rsid w:val="00BE21B6"/>
    <w:rsid w:val="00BE28F6"/>
    <w:rsid w:val="00BE7ACD"/>
    <w:rsid w:val="00BF127E"/>
    <w:rsid w:val="00BF55AE"/>
    <w:rsid w:val="00BF792A"/>
    <w:rsid w:val="00C1556A"/>
    <w:rsid w:val="00C15D9F"/>
    <w:rsid w:val="00C162AF"/>
    <w:rsid w:val="00C16E70"/>
    <w:rsid w:val="00C17750"/>
    <w:rsid w:val="00C17CA0"/>
    <w:rsid w:val="00C22540"/>
    <w:rsid w:val="00C23C9F"/>
    <w:rsid w:val="00C25F4F"/>
    <w:rsid w:val="00C271CE"/>
    <w:rsid w:val="00C30BEC"/>
    <w:rsid w:val="00C31C99"/>
    <w:rsid w:val="00C34812"/>
    <w:rsid w:val="00C406AF"/>
    <w:rsid w:val="00C408E6"/>
    <w:rsid w:val="00C41FA4"/>
    <w:rsid w:val="00C456EE"/>
    <w:rsid w:val="00C46564"/>
    <w:rsid w:val="00C55F08"/>
    <w:rsid w:val="00C66382"/>
    <w:rsid w:val="00C67B04"/>
    <w:rsid w:val="00C73096"/>
    <w:rsid w:val="00C731E8"/>
    <w:rsid w:val="00C75061"/>
    <w:rsid w:val="00C81B80"/>
    <w:rsid w:val="00C81FDC"/>
    <w:rsid w:val="00C8552F"/>
    <w:rsid w:val="00C90F17"/>
    <w:rsid w:val="00C9296F"/>
    <w:rsid w:val="00C94422"/>
    <w:rsid w:val="00CA0F62"/>
    <w:rsid w:val="00CA3882"/>
    <w:rsid w:val="00CA5E3A"/>
    <w:rsid w:val="00CA7207"/>
    <w:rsid w:val="00CA7FC6"/>
    <w:rsid w:val="00CB3BED"/>
    <w:rsid w:val="00CB533A"/>
    <w:rsid w:val="00CB58A5"/>
    <w:rsid w:val="00CB627E"/>
    <w:rsid w:val="00CB6908"/>
    <w:rsid w:val="00CB7E29"/>
    <w:rsid w:val="00CC41E3"/>
    <w:rsid w:val="00CC4A32"/>
    <w:rsid w:val="00CC4CEB"/>
    <w:rsid w:val="00CD1E01"/>
    <w:rsid w:val="00CD5782"/>
    <w:rsid w:val="00CD672E"/>
    <w:rsid w:val="00CD6A11"/>
    <w:rsid w:val="00CF3A62"/>
    <w:rsid w:val="00CF3F82"/>
    <w:rsid w:val="00CF4D8C"/>
    <w:rsid w:val="00CF698A"/>
    <w:rsid w:val="00CF77BC"/>
    <w:rsid w:val="00CF7B3E"/>
    <w:rsid w:val="00D00418"/>
    <w:rsid w:val="00D00B30"/>
    <w:rsid w:val="00D10F0A"/>
    <w:rsid w:val="00D1381F"/>
    <w:rsid w:val="00D139A0"/>
    <w:rsid w:val="00D13F00"/>
    <w:rsid w:val="00D141FD"/>
    <w:rsid w:val="00D16033"/>
    <w:rsid w:val="00D17E7B"/>
    <w:rsid w:val="00D2486A"/>
    <w:rsid w:val="00D249A9"/>
    <w:rsid w:val="00D25816"/>
    <w:rsid w:val="00D278E0"/>
    <w:rsid w:val="00D313FE"/>
    <w:rsid w:val="00D41E32"/>
    <w:rsid w:val="00D446B2"/>
    <w:rsid w:val="00D45A67"/>
    <w:rsid w:val="00D4621E"/>
    <w:rsid w:val="00D465CA"/>
    <w:rsid w:val="00D50210"/>
    <w:rsid w:val="00D56B9A"/>
    <w:rsid w:val="00D5791A"/>
    <w:rsid w:val="00D62A6A"/>
    <w:rsid w:val="00D66660"/>
    <w:rsid w:val="00D733FC"/>
    <w:rsid w:val="00D75E8B"/>
    <w:rsid w:val="00D7624E"/>
    <w:rsid w:val="00D814C3"/>
    <w:rsid w:val="00D82C1C"/>
    <w:rsid w:val="00D84241"/>
    <w:rsid w:val="00D85558"/>
    <w:rsid w:val="00D85B3B"/>
    <w:rsid w:val="00D863AC"/>
    <w:rsid w:val="00D87252"/>
    <w:rsid w:val="00D878CA"/>
    <w:rsid w:val="00D87DE6"/>
    <w:rsid w:val="00D908C6"/>
    <w:rsid w:val="00D9184F"/>
    <w:rsid w:val="00DA0F8C"/>
    <w:rsid w:val="00DA3D1E"/>
    <w:rsid w:val="00DB15DA"/>
    <w:rsid w:val="00DB4964"/>
    <w:rsid w:val="00DB6AF0"/>
    <w:rsid w:val="00DB6D36"/>
    <w:rsid w:val="00DB7BB6"/>
    <w:rsid w:val="00DC1894"/>
    <w:rsid w:val="00DC2342"/>
    <w:rsid w:val="00DC35D9"/>
    <w:rsid w:val="00DC3A9C"/>
    <w:rsid w:val="00DC565D"/>
    <w:rsid w:val="00DC637B"/>
    <w:rsid w:val="00DC68AB"/>
    <w:rsid w:val="00DE22A5"/>
    <w:rsid w:val="00DE37D1"/>
    <w:rsid w:val="00DE3C7B"/>
    <w:rsid w:val="00DE55A6"/>
    <w:rsid w:val="00DE6002"/>
    <w:rsid w:val="00DF0531"/>
    <w:rsid w:val="00DF1323"/>
    <w:rsid w:val="00DF3AF9"/>
    <w:rsid w:val="00DF5F10"/>
    <w:rsid w:val="00E00651"/>
    <w:rsid w:val="00E0065A"/>
    <w:rsid w:val="00E00E5A"/>
    <w:rsid w:val="00E0247E"/>
    <w:rsid w:val="00E03C2F"/>
    <w:rsid w:val="00E043BC"/>
    <w:rsid w:val="00E04A06"/>
    <w:rsid w:val="00E10A84"/>
    <w:rsid w:val="00E12838"/>
    <w:rsid w:val="00E12950"/>
    <w:rsid w:val="00E15061"/>
    <w:rsid w:val="00E1724D"/>
    <w:rsid w:val="00E1738F"/>
    <w:rsid w:val="00E179D4"/>
    <w:rsid w:val="00E216E3"/>
    <w:rsid w:val="00E22F70"/>
    <w:rsid w:val="00E33723"/>
    <w:rsid w:val="00E35AAB"/>
    <w:rsid w:val="00E367BE"/>
    <w:rsid w:val="00E415AA"/>
    <w:rsid w:val="00E4604D"/>
    <w:rsid w:val="00E46079"/>
    <w:rsid w:val="00E5110B"/>
    <w:rsid w:val="00E55762"/>
    <w:rsid w:val="00E6629B"/>
    <w:rsid w:val="00E70D17"/>
    <w:rsid w:val="00E749E6"/>
    <w:rsid w:val="00E765CB"/>
    <w:rsid w:val="00E76D74"/>
    <w:rsid w:val="00E80A86"/>
    <w:rsid w:val="00E8719B"/>
    <w:rsid w:val="00E87E4C"/>
    <w:rsid w:val="00E928E7"/>
    <w:rsid w:val="00E95C65"/>
    <w:rsid w:val="00E967CC"/>
    <w:rsid w:val="00EA2979"/>
    <w:rsid w:val="00EA4D1C"/>
    <w:rsid w:val="00EA6C12"/>
    <w:rsid w:val="00EA6CB2"/>
    <w:rsid w:val="00EA76B3"/>
    <w:rsid w:val="00EB0922"/>
    <w:rsid w:val="00EB143D"/>
    <w:rsid w:val="00EB1E29"/>
    <w:rsid w:val="00EB29BC"/>
    <w:rsid w:val="00EB3E8C"/>
    <w:rsid w:val="00EB46F5"/>
    <w:rsid w:val="00EB514B"/>
    <w:rsid w:val="00EB5C3A"/>
    <w:rsid w:val="00EC0999"/>
    <w:rsid w:val="00ED0BA6"/>
    <w:rsid w:val="00ED11D6"/>
    <w:rsid w:val="00ED22E0"/>
    <w:rsid w:val="00ED2E04"/>
    <w:rsid w:val="00ED3C57"/>
    <w:rsid w:val="00ED53F4"/>
    <w:rsid w:val="00ED646E"/>
    <w:rsid w:val="00ED780F"/>
    <w:rsid w:val="00ED7BFF"/>
    <w:rsid w:val="00EE01BD"/>
    <w:rsid w:val="00EE01D2"/>
    <w:rsid w:val="00EE2F87"/>
    <w:rsid w:val="00EE4429"/>
    <w:rsid w:val="00EE4816"/>
    <w:rsid w:val="00EE5382"/>
    <w:rsid w:val="00EE6A83"/>
    <w:rsid w:val="00EE7BFD"/>
    <w:rsid w:val="00EF1F25"/>
    <w:rsid w:val="00F04774"/>
    <w:rsid w:val="00F05A56"/>
    <w:rsid w:val="00F0625A"/>
    <w:rsid w:val="00F0705C"/>
    <w:rsid w:val="00F10BDB"/>
    <w:rsid w:val="00F13CAD"/>
    <w:rsid w:val="00F15765"/>
    <w:rsid w:val="00F179E6"/>
    <w:rsid w:val="00F17EDA"/>
    <w:rsid w:val="00F2078F"/>
    <w:rsid w:val="00F22624"/>
    <w:rsid w:val="00F23921"/>
    <w:rsid w:val="00F25527"/>
    <w:rsid w:val="00F310CA"/>
    <w:rsid w:val="00F31CE7"/>
    <w:rsid w:val="00F31FD5"/>
    <w:rsid w:val="00F35B6F"/>
    <w:rsid w:val="00F363F0"/>
    <w:rsid w:val="00F37211"/>
    <w:rsid w:val="00F37B2B"/>
    <w:rsid w:val="00F43B98"/>
    <w:rsid w:val="00F45191"/>
    <w:rsid w:val="00F51BFE"/>
    <w:rsid w:val="00F54173"/>
    <w:rsid w:val="00F56461"/>
    <w:rsid w:val="00F57589"/>
    <w:rsid w:val="00F61D17"/>
    <w:rsid w:val="00F63403"/>
    <w:rsid w:val="00F63768"/>
    <w:rsid w:val="00F7355E"/>
    <w:rsid w:val="00F74F3A"/>
    <w:rsid w:val="00F84E9B"/>
    <w:rsid w:val="00F91463"/>
    <w:rsid w:val="00F92BC4"/>
    <w:rsid w:val="00F96197"/>
    <w:rsid w:val="00F97744"/>
    <w:rsid w:val="00FA2DCB"/>
    <w:rsid w:val="00FB3437"/>
    <w:rsid w:val="00FB35C4"/>
    <w:rsid w:val="00FB697A"/>
    <w:rsid w:val="00FB6A63"/>
    <w:rsid w:val="00FC21A1"/>
    <w:rsid w:val="00FC322A"/>
    <w:rsid w:val="00FC5AB7"/>
    <w:rsid w:val="00FC61D4"/>
    <w:rsid w:val="00FC6525"/>
    <w:rsid w:val="00FD06A5"/>
    <w:rsid w:val="00FD4688"/>
    <w:rsid w:val="00FD5342"/>
    <w:rsid w:val="00FE08EA"/>
    <w:rsid w:val="00FE63BE"/>
    <w:rsid w:val="00FE7FE3"/>
    <w:rsid w:val="00FF216B"/>
    <w:rsid w:val="00FF3E80"/>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50B32E1B"/>
  <w15:docId w15:val="{A4BF0177-D472-47BC-8BA9-7D310EE8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4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AB368E"/>
    <w:pPr>
      <w:keepNext/>
      <w:keepLines/>
      <w:numPr>
        <w:numId w:val="20"/>
      </w:numPr>
      <w:spacing w:before="240" w:after="240"/>
      <w:ind w:left="714" w:hanging="357"/>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unhideWhenUsed/>
    <w:qFormat/>
    <w:rsid w:val="00A104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368E"/>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A10425"/>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1042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104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425"/>
  </w:style>
  <w:style w:type="paragraph" w:styleId="Footer">
    <w:name w:val="footer"/>
    <w:basedOn w:val="Normal"/>
    <w:link w:val="FooterChar"/>
    <w:uiPriority w:val="99"/>
    <w:unhideWhenUsed/>
    <w:rsid w:val="00A104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425"/>
  </w:style>
  <w:style w:type="paragraph" w:styleId="BalloonText">
    <w:name w:val="Balloon Text"/>
    <w:basedOn w:val="Normal"/>
    <w:link w:val="BalloonTextChar"/>
    <w:uiPriority w:val="99"/>
    <w:semiHidden/>
    <w:unhideWhenUsed/>
    <w:rsid w:val="00A10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425"/>
    <w:rPr>
      <w:rFonts w:ascii="Tahoma" w:hAnsi="Tahoma" w:cs="Tahoma"/>
      <w:sz w:val="16"/>
      <w:szCs w:val="16"/>
    </w:rPr>
  </w:style>
  <w:style w:type="paragraph" w:styleId="ListParagraph">
    <w:name w:val="List Paragraph"/>
    <w:basedOn w:val="Normal"/>
    <w:uiPriority w:val="34"/>
    <w:qFormat/>
    <w:rsid w:val="003767E2"/>
    <w:pPr>
      <w:ind w:left="720"/>
      <w:contextualSpacing/>
    </w:pPr>
  </w:style>
  <w:style w:type="paragraph" w:styleId="TOCHeading">
    <w:name w:val="TOC Heading"/>
    <w:basedOn w:val="Heading1"/>
    <w:next w:val="Normal"/>
    <w:uiPriority w:val="39"/>
    <w:unhideWhenUsed/>
    <w:qFormat/>
    <w:rsid w:val="00180BD1"/>
    <w:pPr>
      <w:outlineLvl w:val="9"/>
    </w:pPr>
    <w:rPr>
      <w:lang w:val="en-US" w:eastAsia="ja-JP"/>
    </w:rPr>
  </w:style>
  <w:style w:type="paragraph" w:styleId="TOC1">
    <w:name w:val="toc 1"/>
    <w:basedOn w:val="Normal"/>
    <w:next w:val="Normal"/>
    <w:autoRedefine/>
    <w:uiPriority w:val="39"/>
    <w:unhideWhenUsed/>
    <w:rsid w:val="00180BD1"/>
    <w:pPr>
      <w:spacing w:after="100"/>
    </w:pPr>
  </w:style>
  <w:style w:type="paragraph" w:styleId="TOC2">
    <w:name w:val="toc 2"/>
    <w:basedOn w:val="Normal"/>
    <w:next w:val="Normal"/>
    <w:autoRedefine/>
    <w:uiPriority w:val="39"/>
    <w:unhideWhenUsed/>
    <w:rsid w:val="00180BD1"/>
    <w:pPr>
      <w:spacing w:after="100"/>
      <w:ind w:left="220"/>
    </w:pPr>
  </w:style>
  <w:style w:type="character" w:styleId="Hyperlink">
    <w:name w:val="Hyperlink"/>
    <w:basedOn w:val="DefaultParagraphFont"/>
    <w:uiPriority w:val="99"/>
    <w:unhideWhenUsed/>
    <w:rsid w:val="00180BD1"/>
    <w:rPr>
      <w:color w:val="0000FF" w:themeColor="hyperlink"/>
      <w:u w:val="single"/>
    </w:rPr>
  </w:style>
  <w:style w:type="table" w:styleId="TableGrid">
    <w:name w:val="Table Grid"/>
    <w:basedOn w:val="TableNormal"/>
    <w:uiPriority w:val="59"/>
    <w:rsid w:val="00693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C727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C727D"/>
    <w:rPr>
      <w:rFonts w:asciiTheme="majorHAnsi" w:eastAsiaTheme="majorEastAsia" w:hAnsiTheme="majorHAnsi" w:cstheme="majorBidi"/>
      <w:i/>
      <w:iCs/>
      <w:color w:val="4F81BD" w:themeColor="accent1"/>
      <w:spacing w:val="15"/>
      <w:sz w:val="24"/>
      <w:szCs w:val="24"/>
    </w:rPr>
  </w:style>
  <w:style w:type="paragraph" w:styleId="TOC3">
    <w:name w:val="toc 3"/>
    <w:basedOn w:val="Normal"/>
    <w:next w:val="Normal"/>
    <w:autoRedefine/>
    <w:uiPriority w:val="39"/>
    <w:unhideWhenUsed/>
    <w:rsid w:val="008971E0"/>
    <w:pPr>
      <w:spacing w:after="100"/>
      <w:ind w:left="440"/>
    </w:pPr>
  </w:style>
  <w:style w:type="paragraph" w:styleId="NoSpacing">
    <w:name w:val="No Spacing"/>
    <w:link w:val="NoSpacingChar"/>
    <w:uiPriority w:val="1"/>
    <w:qFormat/>
    <w:rsid w:val="001F2FE4"/>
    <w:pPr>
      <w:spacing w:after="0" w:line="240" w:lineRule="auto"/>
    </w:pPr>
    <w:rPr>
      <w:lang w:val="en-US" w:eastAsia="ja-JP"/>
    </w:rPr>
  </w:style>
  <w:style w:type="character" w:customStyle="1" w:styleId="NoSpacingChar">
    <w:name w:val="No Spacing Char"/>
    <w:basedOn w:val="DefaultParagraphFont"/>
    <w:link w:val="NoSpacing"/>
    <w:uiPriority w:val="1"/>
    <w:rsid w:val="001F2FE4"/>
    <w:rPr>
      <w:lang w:val="en-US" w:eastAsia="ja-JP"/>
    </w:rPr>
  </w:style>
  <w:style w:type="paragraph" w:styleId="Bibliography">
    <w:name w:val="Bibliography"/>
    <w:basedOn w:val="Normal"/>
    <w:next w:val="Normal"/>
    <w:uiPriority w:val="37"/>
    <w:unhideWhenUsed/>
    <w:rsid w:val="00FC61D4"/>
  </w:style>
  <w:style w:type="character" w:styleId="PlaceholderText">
    <w:name w:val="Placeholder Text"/>
    <w:basedOn w:val="DefaultParagraphFont"/>
    <w:uiPriority w:val="99"/>
    <w:semiHidden/>
    <w:rsid w:val="000A4146"/>
    <w:rPr>
      <w:color w:val="808080"/>
    </w:rPr>
  </w:style>
  <w:style w:type="character" w:styleId="CommentReference">
    <w:name w:val="annotation reference"/>
    <w:basedOn w:val="DefaultParagraphFont"/>
    <w:uiPriority w:val="99"/>
    <w:semiHidden/>
    <w:unhideWhenUsed/>
    <w:rsid w:val="0090131D"/>
    <w:rPr>
      <w:sz w:val="16"/>
      <w:szCs w:val="16"/>
    </w:rPr>
  </w:style>
  <w:style w:type="paragraph" w:styleId="CommentText">
    <w:name w:val="annotation text"/>
    <w:basedOn w:val="Normal"/>
    <w:link w:val="CommentTextChar"/>
    <w:uiPriority w:val="99"/>
    <w:semiHidden/>
    <w:unhideWhenUsed/>
    <w:rsid w:val="0090131D"/>
    <w:pPr>
      <w:spacing w:line="240" w:lineRule="auto"/>
    </w:pPr>
    <w:rPr>
      <w:sz w:val="20"/>
      <w:szCs w:val="20"/>
    </w:rPr>
  </w:style>
  <w:style w:type="character" w:customStyle="1" w:styleId="CommentTextChar">
    <w:name w:val="Comment Text Char"/>
    <w:basedOn w:val="DefaultParagraphFont"/>
    <w:link w:val="CommentText"/>
    <w:uiPriority w:val="99"/>
    <w:semiHidden/>
    <w:rsid w:val="0090131D"/>
    <w:rPr>
      <w:sz w:val="20"/>
      <w:szCs w:val="20"/>
    </w:rPr>
  </w:style>
  <w:style w:type="paragraph" w:styleId="CommentSubject">
    <w:name w:val="annotation subject"/>
    <w:basedOn w:val="CommentText"/>
    <w:next w:val="CommentText"/>
    <w:link w:val="CommentSubjectChar"/>
    <w:uiPriority w:val="99"/>
    <w:semiHidden/>
    <w:unhideWhenUsed/>
    <w:rsid w:val="0090131D"/>
    <w:rPr>
      <w:b/>
      <w:bCs/>
    </w:rPr>
  </w:style>
  <w:style w:type="character" w:customStyle="1" w:styleId="CommentSubjectChar">
    <w:name w:val="Comment Subject Char"/>
    <w:basedOn w:val="CommentTextChar"/>
    <w:link w:val="CommentSubject"/>
    <w:uiPriority w:val="99"/>
    <w:semiHidden/>
    <w:rsid w:val="0090131D"/>
    <w:rPr>
      <w:b/>
      <w:bCs/>
      <w:sz w:val="20"/>
      <w:szCs w:val="20"/>
    </w:rPr>
  </w:style>
  <w:style w:type="paragraph" w:styleId="FootnoteText">
    <w:name w:val="footnote text"/>
    <w:basedOn w:val="Normal"/>
    <w:link w:val="FootnoteTextChar"/>
    <w:uiPriority w:val="99"/>
    <w:unhideWhenUsed/>
    <w:qFormat/>
    <w:rsid w:val="00A81B5A"/>
    <w:pPr>
      <w:spacing w:after="0" w:line="240" w:lineRule="auto"/>
    </w:pPr>
    <w:rPr>
      <w:sz w:val="20"/>
      <w:szCs w:val="20"/>
    </w:rPr>
  </w:style>
  <w:style w:type="character" w:customStyle="1" w:styleId="FootnoteTextChar">
    <w:name w:val="Footnote Text Char"/>
    <w:basedOn w:val="DefaultParagraphFont"/>
    <w:link w:val="FootnoteText"/>
    <w:uiPriority w:val="99"/>
    <w:rsid w:val="00A81B5A"/>
    <w:rPr>
      <w:sz w:val="20"/>
      <w:szCs w:val="20"/>
    </w:rPr>
  </w:style>
  <w:style w:type="character" w:styleId="FootnoteReference">
    <w:name w:val="footnote reference"/>
    <w:basedOn w:val="DefaultParagraphFont"/>
    <w:uiPriority w:val="99"/>
    <w:semiHidden/>
    <w:unhideWhenUsed/>
    <w:rsid w:val="00A81B5A"/>
    <w:rPr>
      <w:vertAlign w:val="superscript"/>
    </w:rPr>
  </w:style>
  <w:style w:type="character" w:styleId="SubtleReference">
    <w:name w:val="Subtle Reference"/>
    <w:uiPriority w:val="31"/>
    <w:qFormat/>
    <w:rsid w:val="00430488"/>
    <w:rPr>
      <w:rFonts w:asciiTheme="majorBidi" w:hAnsiTheme="majorBidi" w:cstheme="majorBidi"/>
      <w:noProof/>
      <w:sz w:val="24"/>
      <w:szCs w:val="24"/>
      <w:lang w:val="en-US"/>
    </w:rPr>
  </w:style>
  <w:style w:type="paragraph" w:styleId="PlainText">
    <w:name w:val="Plain Text"/>
    <w:basedOn w:val="Normal"/>
    <w:link w:val="PlainTextChar"/>
    <w:uiPriority w:val="99"/>
    <w:semiHidden/>
    <w:unhideWhenUsed/>
    <w:rsid w:val="00145DF5"/>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semiHidden/>
    <w:rsid w:val="00145DF5"/>
    <w:rPr>
      <w:rFonts w:ascii="Courier New" w:eastAsia="SimSun" w:hAnsi="Courier New" w:cs="Courier New"/>
      <w:sz w:val="20"/>
      <w:szCs w:val="20"/>
      <w:lang w:val="en-US"/>
    </w:rPr>
  </w:style>
  <w:style w:type="paragraph" w:styleId="NormalWeb">
    <w:name w:val="Normal (Web)"/>
    <w:basedOn w:val="Normal"/>
    <w:uiPriority w:val="99"/>
    <w:unhideWhenUsed/>
    <w:rsid w:val="000D2153"/>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74990">
      <w:bodyDiv w:val="1"/>
      <w:marLeft w:val="0"/>
      <w:marRight w:val="0"/>
      <w:marTop w:val="0"/>
      <w:marBottom w:val="0"/>
      <w:divBdr>
        <w:top w:val="none" w:sz="0" w:space="0" w:color="auto"/>
        <w:left w:val="none" w:sz="0" w:space="0" w:color="auto"/>
        <w:bottom w:val="none" w:sz="0" w:space="0" w:color="auto"/>
        <w:right w:val="none" w:sz="0" w:space="0" w:color="auto"/>
      </w:divBdr>
    </w:div>
    <w:div w:id="114299394">
      <w:bodyDiv w:val="1"/>
      <w:marLeft w:val="0"/>
      <w:marRight w:val="0"/>
      <w:marTop w:val="0"/>
      <w:marBottom w:val="0"/>
      <w:divBdr>
        <w:top w:val="none" w:sz="0" w:space="0" w:color="auto"/>
        <w:left w:val="none" w:sz="0" w:space="0" w:color="auto"/>
        <w:bottom w:val="none" w:sz="0" w:space="0" w:color="auto"/>
        <w:right w:val="none" w:sz="0" w:space="0" w:color="auto"/>
      </w:divBdr>
    </w:div>
    <w:div w:id="144779307">
      <w:bodyDiv w:val="1"/>
      <w:marLeft w:val="0"/>
      <w:marRight w:val="0"/>
      <w:marTop w:val="0"/>
      <w:marBottom w:val="0"/>
      <w:divBdr>
        <w:top w:val="none" w:sz="0" w:space="0" w:color="auto"/>
        <w:left w:val="none" w:sz="0" w:space="0" w:color="auto"/>
        <w:bottom w:val="none" w:sz="0" w:space="0" w:color="auto"/>
        <w:right w:val="none" w:sz="0" w:space="0" w:color="auto"/>
      </w:divBdr>
    </w:div>
    <w:div w:id="166671349">
      <w:bodyDiv w:val="1"/>
      <w:marLeft w:val="0"/>
      <w:marRight w:val="0"/>
      <w:marTop w:val="0"/>
      <w:marBottom w:val="0"/>
      <w:divBdr>
        <w:top w:val="none" w:sz="0" w:space="0" w:color="auto"/>
        <w:left w:val="none" w:sz="0" w:space="0" w:color="auto"/>
        <w:bottom w:val="none" w:sz="0" w:space="0" w:color="auto"/>
        <w:right w:val="none" w:sz="0" w:space="0" w:color="auto"/>
      </w:divBdr>
    </w:div>
    <w:div w:id="186335730">
      <w:bodyDiv w:val="1"/>
      <w:marLeft w:val="0"/>
      <w:marRight w:val="0"/>
      <w:marTop w:val="0"/>
      <w:marBottom w:val="0"/>
      <w:divBdr>
        <w:top w:val="none" w:sz="0" w:space="0" w:color="auto"/>
        <w:left w:val="none" w:sz="0" w:space="0" w:color="auto"/>
        <w:bottom w:val="none" w:sz="0" w:space="0" w:color="auto"/>
        <w:right w:val="none" w:sz="0" w:space="0" w:color="auto"/>
      </w:divBdr>
    </w:div>
    <w:div w:id="188179836">
      <w:bodyDiv w:val="1"/>
      <w:marLeft w:val="0"/>
      <w:marRight w:val="0"/>
      <w:marTop w:val="0"/>
      <w:marBottom w:val="0"/>
      <w:divBdr>
        <w:top w:val="none" w:sz="0" w:space="0" w:color="auto"/>
        <w:left w:val="none" w:sz="0" w:space="0" w:color="auto"/>
        <w:bottom w:val="none" w:sz="0" w:space="0" w:color="auto"/>
        <w:right w:val="none" w:sz="0" w:space="0" w:color="auto"/>
      </w:divBdr>
    </w:div>
    <w:div w:id="202838759">
      <w:bodyDiv w:val="1"/>
      <w:marLeft w:val="0"/>
      <w:marRight w:val="0"/>
      <w:marTop w:val="0"/>
      <w:marBottom w:val="0"/>
      <w:divBdr>
        <w:top w:val="none" w:sz="0" w:space="0" w:color="auto"/>
        <w:left w:val="none" w:sz="0" w:space="0" w:color="auto"/>
        <w:bottom w:val="none" w:sz="0" w:space="0" w:color="auto"/>
        <w:right w:val="none" w:sz="0" w:space="0" w:color="auto"/>
      </w:divBdr>
    </w:div>
    <w:div w:id="222255963">
      <w:bodyDiv w:val="1"/>
      <w:marLeft w:val="0"/>
      <w:marRight w:val="0"/>
      <w:marTop w:val="0"/>
      <w:marBottom w:val="0"/>
      <w:divBdr>
        <w:top w:val="none" w:sz="0" w:space="0" w:color="auto"/>
        <w:left w:val="none" w:sz="0" w:space="0" w:color="auto"/>
        <w:bottom w:val="none" w:sz="0" w:space="0" w:color="auto"/>
        <w:right w:val="none" w:sz="0" w:space="0" w:color="auto"/>
      </w:divBdr>
    </w:div>
    <w:div w:id="269552479">
      <w:bodyDiv w:val="1"/>
      <w:marLeft w:val="0"/>
      <w:marRight w:val="0"/>
      <w:marTop w:val="0"/>
      <w:marBottom w:val="0"/>
      <w:divBdr>
        <w:top w:val="none" w:sz="0" w:space="0" w:color="auto"/>
        <w:left w:val="none" w:sz="0" w:space="0" w:color="auto"/>
        <w:bottom w:val="none" w:sz="0" w:space="0" w:color="auto"/>
        <w:right w:val="none" w:sz="0" w:space="0" w:color="auto"/>
      </w:divBdr>
    </w:div>
    <w:div w:id="298613863">
      <w:bodyDiv w:val="1"/>
      <w:marLeft w:val="0"/>
      <w:marRight w:val="0"/>
      <w:marTop w:val="0"/>
      <w:marBottom w:val="0"/>
      <w:divBdr>
        <w:top w:val="none" w:sz="0" w:space="0" w:color="auto"/>
        <w:left w:val="none" w:sz="0" w:space="0" w:color="auto"/>
        <w:bottom w:val="none" w:sz="0" w:space="0" w:color="auto"/>
        <w:right w:val="none" w:sz="0" w:space="0" w:color="auto"/>
      </w:divBdr>
    </w:div>
    <w:div w:id="353920622">
      <w:bodyDiv w:val="1"/>
      <w:marLeft w:val="0"/>
      <w:marRight w:val="0"/>
      <w:marTop w:val="0"/>
      <w:marBottom w:val="0"/>
      <w:divBdr>
        <w:top w:val="none" w:sz="0" w:space="0" w:color="auto"/>
        <w:left w:val="none" w:sz="0" w:space="0" w:color="auto"/>
        <w:bottom w:val="none" w:sz="0" w:space="0" w:color="auto"/>
        <w:right w:val="none" w:sz="0" w:space="0" w:color="auto"/>
      </w:divBdr>
    </w:div>
    <w:div w:id="371225737">
      <w:bodyDiv w:val="1"/>
      <w:marLeft w:val="0"/>
      <w:marRight w:val="0"/>
      <w:marTop w:val="0"/>
      <w:marBottom w:val="0"/>
      <w:divBdr>
        <w:top w:val="none" w:sz="0" w:space="0" w:color="auto"/>
        <w:left w:val="none" w:sz="0" w:space="0" w:color="auto"/>
        <w:bottom w:val="none" w:sz="0" w:space="0" w:color="auto"/>
        <w:right w:val="none" w:sz="0" w:space="0" w:color="auto"/>
      </w:divBdr>
    </w:div>
    <w:div w:id="397869182">
      <w:bodyDiv w:val="1"/>
      <w:marLeft w:val="0"/>
      <w:marRight w:val="0"/>
      <w:marTop w:val="0"/>
      <w:marBottom w:val="0"/>
      <w:divBdr>
        <w:top w:val="none" w:sz="0" w:space="0" w:color="auto"/>
        <w:left w:val="none" w:sz="0" w:space="0" w:color="auto"/>
        <w:bottom w:val="none" w:sz="0" w:space="0" w:color="auto"/>
        <w:right w:val="none" w:sz="0" w:space="0" w:color="auto"/>
      </w:divBdr>
    </w:div>
    <w:div w:id="454442866">
      <w:bodyDiv w:val="1"/>
      <w:marLeft w:val="0"/>
      <w:marRight w:val="0"/>
      <w:marTop w:val="0"/>
      <w:marBottom w:val="0"/>
      <w:divBdr>
        <w:top w:val="none" w:sz="0" w:space="0" w:color="auto"/>
        <w:left w:val="none" w:sz="0" w:space="0" w:color="auto"/>
        <w:bottom w:val="none" w:sz="0" w:space="0" w:color="auto"/>
        <w:right w:val="none" w:sz="0" w:space="0" w:color="auto"/>
      </w:divBdr>
    </w:div>
    <w:div w:id="475024919">
      <w:bodyDiv w:val="1"/>
      <w:marLeft w:val="0"/>
      <w:marRight w:val="0"/>
      <w:marTop w:val="0"/>
      <w:marBottom w:val="0"/>
      <w:divBdr>
        <w:top w:val="none" w:sz="0" w:space="0" w:color="auto"/>
        <w:left w:val="none" w:sz="0" w:space="0" w:color="auto"/>
        <w:bottom w:val="none" w:sz="0" w:space="0" w:color="auto"/>
        <w:right w:val="none" w:sz="0" w:space="0" w:color="auto"/>
      </w:divBdr>
    </w:div>
    <w:div w:id="574515852">
      <w:bodyDiv w:val="1"/>
      <w:marLeft w:val="0"/>
      <w:marRight w:val="0"/>
      <w:marTop w:val="0"/>
      <w:marBottom w:val="0"/>
      <w:divBdr>
        <w:top w:val="none" w:sz="0" w:space="0" w:color="auto"/>
        <w:left w:val="none" w:sz="0" w:space="0" w:color="auto"/>
        <w:bottom w:val="none" w:sz="0" w:space="0" w:color="auto"/>
        <w:right w:val="none" w:sz="0" w:space="0" w:color="auto"/>
      </w:divBdr>
    </w:div>
    <w:div w:id="590159808">
      <w:bodyDiv w:val="1"/>
      <w:marLeft w:val="0"/>
      <w:marRight w:val="0"/>
      <w:marTop w:val="0"/>
      <w:marBottom w:val="0"/>
      <w:divBdr>
        <w:top w:val="none" w:sz="0" w:space="0" w:color="auto"/>
        <w:left w:val="none" w:sz="0" w:space="0" w:color="auto"/>
        <w:bottom w:val="none" w:sz="0" w:space="0" w:color="auto"/>
        <w:right w:val="none" w:sz="0" w:space="0" w:color="auto"/>
      </w:divBdr>
    </w:div>
    <w:div w:id="591164311">
      <w:bodyDiv w:val="1"/>
      <w:marLeft w:val="0"/>
      <w:marRight w:val="0"/>
      <w:marTop w:val="0"/>
      <w:marBottom w:val="0"/>
      <w:divBdr>
        <w:top w:val="none" w:sz="0" w:space="0" w:color="auto"/>
        <w:left w:val="none" w:sz="0" w:space="0" w:color="auto"/>
        <w:bottom w:val="none" w:sz="0" w:space="0" w:color="auto"/>
        <w:right w:val="none" w:sz="0" w:space="0" w:color="auto"/>
      </w:divBdr>
    </w:div>
    <w:div w:id="599337110">
      <w:bodyDiv w:val="1"/>
      <w:marLeft w:val="0"/>
      <w:marRight w:val="0"/>
      <w:marTop w:val="0"/>
      <w:marBottom w:val="0"/>
      <w:divBdr>
        <w:top w:val="none" w:sz="0" w:space="0" w:color="auto"/>
        <w:left w:val="none" w:sz="0" w:space="0" w:color="auto"/>
        <w:bottom w:val="none" w:sz="0" w:space="0" w:color="auto"/>
        <w:right w:val="none" w:sz="0" w:space="0" w:color="auto"/>
      </w:divBdr>
    </w:div>
    <w:div w:id="610745913">
      <w:bodyDiv w:val="1"/>
      <w:marLeft w:val="0"/>
      <w:marRight w:val="0"/>
      <w:marTop w:val="0"/>
      <w:marBottom w:val="0"/>
      <w:divBdr>
        <w:top w:val="none" w:sz="0" w:space="0" w:color="auto"/>
        <w:left w:val="none" w:sz="0" w:space="0" w:color="auto"/>
        <w:bottom w:val="none" w:sz="0" w:space="0" w:color="auto"/>
        <w:right w:val="none" w:sz="0" w:space="0" w:color="auto"/>
      </w:divBdr>
    </w:div>
    <w:div w:id="625965815">
      <w:bodyDiv w:val="1"/>
      <w:marLeft w:val="0"/>
      <w:marRight w:val="0"/>
      <w:marTop w:val="0"/>
      <w:marBottom w:val="0"/>
      <w:divBdr>
        <w:top w:val="none" w:sz="0" w:space="0" w:color="auto"/>
        <w:left w:val="none" w:sz="0" w:space="0" w:color="auto"/>
        <w:bottom w:val="none" w:sz="0" w:space="0" w:color="auto"/>
        <w:right w:val="none" w:sz="0" w:space="0" w:color="auto"/>
      </w:divBdr>
    </w:div>
    <w:div w:id="687609126">
      <w:bodyDiv w:val="1"/>
      <w:marLeft w:val="0"/>
      <w:marRight w:val="0"/>
      <w:marTop w:val="0"/>
      <w:marBottom w:val="0"/>
      <w:divBdr>
        <w:top w:val="none" w:sz="0" w:space="0" w:color="auto"/>
        <w:left w:val="none" w:sz="0" w:space="0" w:color="auto"/>
        <w:bottom w:val="none" w:sz="0" w:space="0" w:color="auto"/>
        <w:right w:val="none" w:sz="0" w:space="0" w:color="auto"/>
      </w:divBdr>
    </w:div>
    <w:div w:id="755438321">
      <w:bodyDiv w:val="1"/>
      <w:marLeft w:val="0"/>
      <w:marRight w:val="0"/>
      <w:marTop w:val="0"/>
      <w:marBottom w:val="0"/>
      <w:divBdr>
        <w:top w:val="none" w:sz="0" w:space="0" w:color="auto"/>
        <w:left w:val="none" w:sz="0" w:space="0" w:color="auto"/>
        <w:bottom w:val="none" w:sz="0" w:space="0" w:color="auto"/>
        <w:right w:val="none" w:sz="0" w:space="0" w:color="auto"/>
      </w:divBdr>
    </w:div>
    <w:div w:id="756094469">
      <w:bodyDiv w:val="1"/>
      <w:marLeft w:val="0"/>
      <w:marRight w:val="0"/>
      <w:marTop w:val="0"/>
      <w:marBottom w:val="0"/>
      <w:divBdr>
        <w:top w:val="none" w:sz="0" w:space="0" w:color="auto"/>
        <w:left w:val="none" w:sz="0" w:space="0" w:color="auto"/>
        <w:bottom w:val="none" w:sz="0" w:space="0" w:color="auto"/>
        <w:right w:val="none" w:sz="0" w:space="0" w:color="auto"/>
      </w:divBdr>
    </w:div>
    <w:div w:id="827015193">
      <w:bodyDiv w:val="1"/>
      <w:marLeft w:val="0"/>
      <w:marRight w:val="0"/>
      <w:marTop w:val="0"/>
      <w:marBottom w:val="0"/>
      <w:divBdr>
        <w:top w:val="none" w:sz="0" w:space="0" w:color="auto"/>
        <w:left w:val="none" w:sz="0" w:space="0" w:color="auto"/>
        <w:bottom w:val="none" w:sz="0" w:space="0" w:color="auto"/>
        <w:right w:val="none" w:sz="0" w:space="0" w:color="auto"/>
      </w:divBdr>
    </w:div>
    <w:div w:id="839735266">
      <w:bodyDiv w:val="1"/>
      <w:marLeft w:val="0"/>
      <w:marRight w:val="0"/>
      <w:marTop w:val="0"/>
      <w:marBottom w:val="0"/>
      <w:divBdr>
        <w:top w:val="none" w:sz="0" w:space="0" w:color="auto"/>
        <w:left w:val="none" w:sz="0" w:space="0" w:color="auto"/>
        <w:bottom w:val="none" w:sz="0" w:space="0" w:color="auto"/>
        <w:right w:val="none" w:sz="0" w:space="0" w:color="auto"/>
      </w:divBdr>
    </w:div>
    <w:div w:id="846334543">
      <w:bodyDiv w:val="1"/>
      <w:marLeft w:val="0"/>
      <w:marRight w:val="0"/>
      <w:marTop w:val="0"/>
      <w:marBottom w:val="0"/>
      <w:divBdr>
        <w:top w:val="none" w:sz="0" w:space="0" w:color="auto"/>
        <w:left w:val="none" w:sz="0" w:space="0" w:color="auto"/>
        <w:bottom w:val="none" w:sz="0" w:space="0" w:color="auto"/>
        <w:right w:val="none" w:sz="0" w:space="0" w:color="auto"/>
      </w:divBdr>
    </w:div>
    <w:div w:id="904488349">
      <w:bodyDiv w:val="1"/>
      <w:marLeft w:val="0"/>
      <w:marRight w:val="0"/>
      <w:marTop w:val="0"/>
      <w:marBottom w:val="0"/>
      <w:divBdr>
        <w:top w:val="none" w:sz="0" w:space="0" w:color="auto"/>
        <w:left w:val="none" w:sz="0" w:space="0" w:color="auto"/>
        <w:bottom w:val="none" w:sz="0" w:space="0" w:color="auto"/>
        <w:right w:val="none" w:sz="0" w:space="0" w:color="auto"/>
      </w:divBdr>
    </w:div>
    <w:div w:id="915940707">
      <w:bodyDiv w:val="1"/>
      <w:marLeft w:val="0"/>
      <w:marRight w:val="0"/>
      <w:marTop w:val="0"/>
      <w:marBottom w:val="0"/>
      <w:divBdr>
        <w:top w:val="none" w:sz="0" w:space="0" w:color="auto"/>
        <w:left w:val="none" w:sz="0" w:space="0" w:color="auto"/>
        <w:bottom w:val="none" w:sz="0" w:space="0" w:color="auto"/>
        <w:right w:val="none" w:sz="0" w:space="0" w:color="auto"/>
      </w:divBdr>
    </w:div>
    <w:div w:id="933052518">
      <w:bodyDiv w:val="1"/>
      <w:marLeft w:val="0"/>
      <w:marRight w:val="0"/>
      <w:marTop w:val="0"/>
      <w:marBottom w:val="0"/>
      <w:divBdr>
        <w:top w:val="none" w:sz="0" w:space="0" w:color="auto"/>
        <w:left w:val="none" w:sz="0" w:space="0" w:color="auto"/>
        <w:bottom w:val="none" w:sz="0" w:space="0" w:color="auto"/>
        <w:right w:val="none" w:sz="0" w:space="0" w:color="auto"/>
      </w:divBdr>
    </w:div>
    <w:div w:id="936864087">
      <w:bodyDiv w:val="1"/>
      <w:marLeft w:val="0"/>
      <w:marRight w:val="0"/>
      <w:marTop w:val="0"/>
      <w:marBottom w:val="0"/>
      <w:divBdr>
        <w:top w:val="none" w:sz="0" w:space="0" w:color="auto"/>
        <w:left w:val="none" w:sz="0" w:space="0" w:color="auto"/>
        <w:bottom w:val="none" w:sz="0" w:space="0" w:color="auto"/>
        <w:right w:val="none" w:sz="0" w:space="0" w:color="auto"/>
      </w:divBdr>
    </w:div>
    <w:div w:id="999187743">
      <w:bodyDiv w:val="1"/>
      <w:marLeft w:val="0"/>
      <w:marRight w:val="0"/>
      <w:marTop w:val="0"/>
      <w:marBottom w:val="0"/>
      <w:divBdr>
        <w:top w:val="none" w:sz="0" w:space="0" w:color="auto"/>
        <w:left w:val="none" w:sz="0" w:space="0" w:color="auto"/>
        <w:bottom w:val="none" w:sz="0" w:space="0" w:color="auto"/>
        <w:right w:val="none" w:sz="0" w:space="0" w:color="auto"/>
      </w:divBdr>
    </w:div>
    <w:div w:id="1072703713">
      <w:bodyDiv w:val="1"/>
      <w:marLeft w:val="0"/>
      <w:marRight w:val="0"/>
      <w:marTop w:val="0"/>
      <w:marBottom w:val="0"/>
      <w:divBdr>
        <w:top w:val="none" w:sz="0" w:space="0" w:color="auto"/>
        <w:left w:val="none" w:sz="0" w:space="0" w:color="auto"/>
        <w:bottom w:val="none" w:sz="0" w:space="0" w:color="auto"/>
        <w:right w:val="none" w:sz="0" w:space="0" w:color="auto"/>
      </w:divBdr>
    </w:div>
    <w:div w:id="1145006985">
      <w:bodyDiv w:val="1"/>
      <w:marLeft w:val="0"/>
      <w:marRight w:val="0"/>
      <w:marTop w:val="0"/>
      <w:marBottom w:val="0"/>
      <w:divBdr>
        <w:top w:val="none" w:sz="0" w:space="0" w:color="auto"/>
        <w:left w:val="none" w:sz="0" w:space="0" w:color="auto"/>
        <w:bottom w:val="none" w:sz="0" w:space="0" w:color="auto"/>
        <w:right w:val="none" w:sz="0" w:space="0" w:color="auto"/>
      </w:divBdr>
    </w:div>
    <w:div w:id="1199200121">
      <w:bodyDiv w:val="1"/>
      <w:marLeft w:val="0"/>
      <w:marRight w:val="0"/>
      <w:marTop w:val="0"/>
      <w:marBottom w:val="0"/>
      <w:divBdr>
        <w:top w:val="none" w:sz="0" w:space="0" w:color="auto"/>
        <w:left w:val="none" w:sz="0" w:space="0" w:color="auto"/>
        <w:bottom w:val="none" w:sz="0" w:space="0" w:color="auto"/>
        <w:right w:val="none" w:sz="0" w:space="0" w:color="auto"/>
      </w:divBdr>
    </w:div>
    <w:div w:id="1299409045">
      <w:bodyDiv w:val="1"/>
      <w:marLeft w:val="0"/>
      <w:marRight w:val="0"/>
      <w:marTop w:val="0"/>
      <w:marBottom w:val="0"/>
      <w:divBdr>
        <w:top w:val="none" w:sz="0" w:space="0" w:color="auto"/>
        <w:left w:val="none" w:sz="0" w:space="0" w:color="auto"/>
        <w:bottom w:val="none" w:sz="0" w:space="0" w:color="auto"/>
        <w:right w:val="none" w:sz="0" w:space="0" w:color="auto"/>
      </w:divBdr>
    </w:div>
    <w:div w:id="1332248347">
      <w:bodyDiv w:val="1"/>
      <w:marLeft w:val="0"/>
      <w:marRight w:val="0"/>
      <w:marTop w:val="0"/>
      <w:marBottom w:val="0"/>
      <w:divBdr>
        <w:top w:val="none" w:sz="0" w:space="0" w:color="auto"/>
        <w:left w:val="none" w:sz="0" w:space="0" w:color="auto"/>
        <w:bottom w:val="none" w:sz="0" w:space="0" w:color="auto"/>
        <w:right w:val="none" w:sz="0" w:space="0" w:color="auto"/>
      </w:divBdr>
    </w:div>
    <w:div w:id="1356997770">
      <w:bodyDiv w:val="1"/>
      <w:marLeft w:val="0"/>
      <w:marRight w:val="0"/>
      <w:marTop w:val="0"/>
      <w:marBottom w:val="0"/>
      <w:divBdr>
        <w:top w:val="none" w:sz="0" w:space="0" w:color="auto"/>
        <w:left w:val="none" w:sz="0" w:space="0" w:color="auto"/>
        <w:bottom w:val="none" w:sz="0" w:space="0" w:color="auto"/>
        <w:right w:val="none" w:sz="0" w:space="0" w:color="auto"/>
      </w:divBdr>
    </w:div>
    <w:div w:id="1370644103">
      <w:bodyDiv w:val="1"/>
      <w:marLeft w:val="0"/>
      <w:marRight w:val="0"/>
      <w:marTop w:val="0"/>
      <w:marBottom w:val="0"/>
      <w:divBdr>
        <w:top w:val="none" w:sz="0" w:space="0" w:color="auto"/>
        <w:left w:val="none" w:sz="0" w:space="0" w:color="auto"/>
        <w:bottom w:val="none" w:sz="0" w:space="0" w:color="auto"/>
        <w:right w:val="none" w:sz="0" w:space="0" w:color="auto"/>
      </w:divBdr>
    </w:div>
    <w:div w:id="1377970481">
      <w:bodyDiv w:val="1"/>
      <w:marLeft w:val="0"/>
      <w:marRight w:val="0"/>
      <w:marTop w:val="0"/>
      <w:marBottom w:val="0"/>
      <w:divBdr>
        <w:top w:val="none" w:sz="0" w:space="0" w:color="auto"/>
        <w:left w:val="none" w:sz="0" w:space="0" w:color="auto"/>
        <w:bottom w:val="none" w:sz="0" w:space="0" w:color="auto"/>
        <w:right w:val="none" w:sz="0" w:space="0" w:color="auto"/>
      </w:divBdr>
    </w:div>
    <w:div w:id="1411121860">
      <w:bodyDiv w:val="1"/>
      <w:marLeft w:val="0"/>
      <w:marRight w:val="0"/>
      <w:marTop w:val="0"/>
      <w:marBottom w:val="0"/>
      <w:divBdr>
        <w:top w:val="none" w:sz="0" w:space="0" w:color="auto"/>
        <w:left w:val="none" w:sz="0" w:space="0" w:color="auto"/>
        <w:bottom w:val="none" w:sz="0" w:space="0" w:color="auto"/>
        <w:right w:val="none" w:sz="0" w:space="0" w:color="auto"/>
      </w:divBdr>
    </w:div>
    <w:div w:id="1451628556">
      <w:bodyDiv w:val="1"/>
      <w:marLeft w:val="0"/>
      <w:marRight w:val="0"/>
      <w:marTop w:val="0"/>
      <w:marBottom w:val="0"/>
      <w:divBdr>
        <w:top w:val="none" w:sz="0" w:space="0" w:color="auto"/>
        <w:left w:val="none" w:sz="0" w:space="0" w:color="auto"/>
        <w:bottom w:val="none" w:sz="0" w:space="0" w:color="auto"/>
        <w:right w:val="none" w:sz="0" w:space="0" w:color="auto"/>
      </w:divBdr>
    </w:div>
    <w:div w:id="1462729346">
      <w:bodyDiv w:val="1"/>
      <w:marLeft w:val="0"/>
      <w:marRight w:val="0"/>
      <w:marTop w:val="0"/>
      <w:marBottom w:val="0"/>
      <w:divBdr>
        <w:top w:val="none" w:sz="0" w:space="0" w:color="auto"/>
        <w:left w:val="none" w:sz="0" w:space="0" w:color="auto"/>
        <w:bottom w:val="none" w:sz="0" w:space="0" w:color="auto"/>
        <w:right w:val="none" w:sz="0" w:space="0" w:color="auto"/>
      </w:divBdr>
    </w:div>
    <w:div w:id="1515194656">
      <w:bodyDiv w:val="1"/>
      <w:marLeft w:val="0"/>
      <w:marRight w:val="0"/>
      <w:marTop w:val="0"/>
      <w:marBottom w:val="0"/>
      <w:divBdr>
        <w:top w:val="none" w:sz="0" w:space="0" w:color="auto"/>
        <w:left w:val="none" w:sz="0" w:space="0" w:color="auto"/>
        <w:bottom w:val="none" w:sz="0" w:space="0" w:color="auto"/>
        <w:right w:val="none" w:sz="0" w:space="0" w:color="auto"/>
      </w:divBdr>
    </w:div>
    <w:div w:id="1558198827">
      <w:bodyDiv w:val="1"/>
      <w:marLeft w:val="0"/>
      <w:marRight w:val="0"/>
      <w:marTop w:val="0"/>
      <w:marBottom w:val="0"/>
      <w:divBdr>
        <w:top w:val="none" w:sz="0" w:space="0" w:color="auto"/>
        <w:left w:val="none" w:sz="0" w:space="0" w:color="auto"/>
        <w:bottom w:val="none" w:sz="0" w:space="0" w:color="auto"/>
        <w:right w:val="none" w:sz="0" w:space="0" w:color="auto"/>
      </w:divBdr>
    </w:div>
    <w:div w:id="1585916872">
      <w:bodyDiv w:val="1"/>
      <w:marLeft w:val="0"/>
      <w:marRight w:val="0"/>
      <w:marTop w:val="0"/>
      <w:marBottom w:val="0"/>
      <w:divBdr>
        <w:top w:val="none" w:sz="0" w:space="0" w:color="auto"/>
        <w:left w:val="none" w:sz="0" w:space="0" w:color="auto"/>
        <w:bottom w:val="none" w:sz="0" w:space="0" w:color="auto"/>
        <w:right w:val="none" w:sz="0" w:space="0" w:color="auto"/>
      </w:divBdr>
    </w:div>
    <w:div w:id="1623728515">
      <w:bodyDiv w:val="1"/>
      <w:marLeft w:val="0"/>
      <w:marRight w:val="0"/>
      <w:marTop w:val="0"/>
      <w:marBottom w:val="0"/>
      <w:divBdr>
        <w:top w:val="none" w:sz="0" w:space="0" w:color="auto"/>
        <w:left w:val="none" w:sz="0" w:space="0" w:color="auto"/>
        <w:bottom w:val="none" w:sz="0" w:space="0" w:color="auto"/>
        <w:right w:val="none" w:sz="0" w:space="0" w:color="auto"/>
      </w:divBdr>
    </w:div>
    <w:div w:id="1645623696">
      <w:bodyDiv w:val="1"/>
      <w:marLeft w:val="0"/>
      <w:marRight w:val="0"/>
      <w:marTop w:val="0"/>
      <w:marBottom w:val="0"/>
      <w:divBdr>
        <w:top w:val="none" w:sz="0" w:space="0" w:color="auto"/>
        <w:left w:val="none" w:sz="0" w:space="0" w:color="auto"/>
        <w:bottom w:val="none" w:sz="0" w:space="0" w:color="auto"/>
        <w:right w:val="none" w:sz="0" w:space="0" w:color="auto"/>
      </w:divBdr>
    </w:div>
    <w:div w:id="1696154616">
      <w:bodyDiv w:val="1"/>
      <w:marLeft w:val="0"/>
      <w:marRight w:val="0"/>
      <w:marTop w:val="0"/>
      <w:marBottom w:val="0"/>
      <w:divBdr>
        <w:top w:val="none" w:sz="0" w:space="0" w:color="auto"/>
        <w:left w:val="none" w:sz="0" w:space="0" w:color="auto"/>
        <w:bottom w:val="none" w:sz="0" w:space="0" w:color="auto"/>
        <w:right w:val="none" w:sz="0" w:space="0" w:color="auto"/>
      </w:divBdr>
    </w:div>
    <w:div w:id="1723870820">
      <w:bodyDiv w:val="1"/>
      <w:marLeft w:val="0"/>
      <w:marRight w:val="0"/>
      <w:marTop w:val="0"/>
      <w:marBottom w:val="0"/>
      <w:divBdr>
        <w:top w:val="none" w:sz="0" w:space="0" w:color="auto"/>
        <w:left w:val="none" w:sz="0" w:space="0" w:color="auto"/>
        <w:bottom w:val="none" w:sz="0" w:space="0" w:color="auto"/>
        <w:right w:val="none" w:sz="0" w:space="0" w:color="auto"/>
      </w:divBdr>
    </w:div>
    <w:div w:id="1778714578">
      <w:bodyDiv w:val="1"/>
      <w:marLeft w:val="0"/>
      <w:marRight w:val="0"/>
      <w:marTop w:val="0"/>
      <w:marBottom w:val="0"/>
      <w:divBdr>
        <w:top w:val="none" w:sz="0" w:space="0" w:color="auto"/>
        <w:left w:val="none" w:sz="0" w:space="0" w:color="auto"/>
        <w:bottom w:val="none" w:sz="0" w:space="0" w:color="auto"/>
        <w:right w:val="none" w:sz="0" w:space="0" w:color="auto"/>
      </w:divBdr>
    </w:div>
    <w:div w:id="1786539721">
      <w:bodyDiv w:val="1"/>
      <w:marLeft w:val="0"/>
      <w:marRight w:val="0"/>
      <w:marTop w:val="0"/>
      <w:marBottom w:val="0"/>
      <w:divBdr>
        <w:top w:val="none" w:sz="0" w:space="0" w:color="auto"/>
        <w:left w:val="none" w:sz="0" w:space="0" w:color="auto"/>
        <w:bottom w:val="none" w:sz="0" w:space="0" w:color="auto"/>
        <w:right w:val="none" w:sz="0" w:space="0" w:color="auto"/>
      </w:divBdr>
    </w:div>
    <w:div w:id="1791437087">
      <w:bodyDiv w:val="1"/>
      <w:marLeft w:val="0"/>
      <w:marRight w:val="0"/>
      <w:marTop w:val="0"/>
      <w:marBottom w:val="0"/>
      <w:divBdr>
        <w:top w:val="none" w:sz="0" w:space="0" w:color="auto"/>
        <w:left w:val="none" w:sz="0" w:space="0" w:color="auto"/>
        <w:bottom w:val="none" w:sz="0" w:space="0" w:color="auto"/>
        <w:right w:val="none" w:sz="0" w:space="0" w:color="auto"/>
      </w:divBdr>
    </w:div>
    <w:div w:id="1810438407">
      <w:bodyDiv w:val="1"/>
      <w:marLeft w:val="0"/>
      <w:marRight w:val="0"/>
      <w:marTop w:val="0"/>
      <w:marBottom w:val="0"/>
      <w:divBdr>
        <w:top w:val="none" w:sz="0" w:space="0" w:color="auto"/>
        <w:left w:val="none" w:sz="0" w:space="0" w:color="auto"/>
        <w:bottom w:val="none" w:sz="0" w:space="0" w:color="auto"/>
        <w:right w:val="none" w:sz="0" w:space="0" w:color="auto"/>
      </w:divBdr>
    </w:div>
    <w:div w:id="1833523163">
      <w:bodyDiv w:val="1"/>
      <w:marLeft w:val="0"/>
      <w:marRight w:val="0"/>
      <w:marTop w:val="0"/>
      <w:marBottom w:val="0"/>
      <w:divBdr>
        <w:top w:val="none" w:sz="0" w:space="0" w:color="auto"/>
        <w:left w:val="none" w:sz="0" w:space="0" w:color="auto"/>
        <w:bottom w:val="none" w:sz="0" w:space="0" w:color="auto"/>
        <w:right w:val="none" w:sz="0" w:space="0" w:color="auto"/>
      </w:divBdr>
    </w:div>
    <w:div w:id="1893467923">
      <w:bodyDiv w:val="1"/>
      <w:marLeft w:val="0"/>
      <w:marRight w:val="0"/>
      <w:marTop w:val="0"/>
      <w:marBottom w:val="0"/>
      <w:divBdr>
        <w:top w:val="none" w:sz="0" w:space="0" w:color="auto"/>
        <w:left w:val="none" w:sz="0" w:space="0" w:color="auto"/>
        <w:bottom w:val="none" w:sz="0" w:space="0" w:color="auto"/>
        <w:right w:val="none" w:sz="0" w:space="0" w:color="auto"/>
      </w:divBdr>
    </w:div>
    <w:div w:id="1925020354">
      <w:bodyDiv w:val="1"/>
      <w:marLeft w:val="0"/>
      <w:marRight w:val="0"/>
      <w:marTop w:val="0"/>
      <w:marBottom w:val="0"/>
      <w:divBdr>
        <w:top w:val="none" w:sz="0" w:space="0" w:color="auto"/>
        <w:left w:val="none" w:sz="0" w:space="0" w:color="auto"/>
        <w:bottom w:val="none" w:sz="0" w:space="0" w:color="auto"/>
        <w:right w:val="none" w:sz="0" w:space="0" w:color="auto"/>
      </w:divBdr>
    </w:div>
    <w:div w:id="1946694798">
      <w:bodyDiv w:val="1"/>
      <w:marLeft w:val="0"/>
      <w:marRight w:val="0"/>
      <w:marTop w:val="0"/>
      <w:marBottom w:val="0"/>
      <w:divBdr>
        <w:top w:val="none" w:sz="0" w:space="0" w:color="auto"/>
        <w:left w:val="none" w:sz="0" w:space="0" w:color="auto"/>
        <w:bottom w:val="none" w:sz="0" w:space="0" w:color="auto"/>
        <w:right w:val="none" w:sz="0" w:space="0" w:color="auto"/>
      </w:divBdr>
    </w:div>
    <w:div w:id="1962488916">
      <w:bodyDiv w:val="1"/>
      <w:marLeft w:val="0"/>
      <w:marRight w:val="0"/>
      <w:marTop w:val="0"/>
      <w:marBottom w:val="0"/>
      <w:divBdr>
        <w:top w:val="none" w:sz="0" w:space="0" w:color="auto"/>
        <w:left w:val="none" w:sz="0" w:space="0" w:color="auto"/>
        <w:bottom w:val="none" w:sz="0" w:space="0" w:color="auto"/>
        <w:right w:val="none" w:sz="0" w:space="0" w:color="auto"/>
      </w:divBdr>
    </w:div>
    <w:div w:id="1970935635">
      <w:bodyDiv w:val="1"/>
      <w:marLeft w:val="0"/>
      <w:marRight w:val="0"/>
      <w:marTop w:val="0"/>
      <w:marBottom w:val="0"/>
      <w:divBdr>
        <w:top w:val="none" w:sz="0" w:space="0" w:color="auto"/>
        <w:left w:val="none" w:sz="0" w:space="0" w:color="auto"/>
        <w:bottom w:val="none" w:sz="0" w:space="0" w:color="auto"/>
        <w:right w:val="none" w:sz="0" w:space="0" w:color="auto"/>
      </w:divBdr>
    </w:div>
    <w:div w:id="1997563076">
      <w:bodyDiv w:val="1"/>
      <w:marLeft w:val="0"/>
      <w:marRight w:val="0"/>
      <w:marTop w:val="0"/>
      <w:marBottom w:val="0"/>
      <w:divBdr>
        <w:top w:val="none" w:sz="0" w:space="0" w:color="auto"/>
        <w:left w:val="none" w:sz="0" w:space="0" w:color="auto"/>
        <w:bottom w:val="none" w:sz="0" w:space="0" w:color="auto"/>
        <w:right w:val="none" w:sz="0" w:space="0" w:color="auto"/>
      </w:divBdr>
    </w:div>
    <w:div w:id="2044861906">
      <w:bodyDiv w:val="1"/>
      <w:marLeft w:val="0"/>
      <w:marRight w:val="0"/>
      <w:marTop w:val="0"/>
      <w:marBottom w:val="0"/>
      <w:divBdr>
        <w:top w:val="none" w:sz="0" w:space="0" w:color="auto"/>
        <w:left w:val="none" w:sz="0" w:space="0" w:color="auto"/>
        <w:bottom w:val="none" w:sz="0" w:space="0" w:color="auto"/>
        <w:right w:val="none" w:sz="0" w:space="0" w:color="auto"/>
      </w:divBdr>
    </w:div>
    <w:div w:id="2076775606">
      <w:bodyDiv w:val="1"/>
      <w:marLeft w:val="0"/>
      <w:marRight w:val="0"/>
      <w:marTop w:val="0"/>
      <w:marBottom w:val="0"/>
      <w:divBdr>
        <w:top w:val="none" w:sz="0" w:space="0" w:color="auto"/>
        <w:left w:val="none" w:sz="0" w:space="0" w:color="auto"/>
        <w:bottom w:val="none" w:sz="0" w:space="0" w:color="auto"/>
        <w:right w:val="none" w:sz="0" w:space="0" w:color="auto"/>
      </w:divBdr>
    </w:div>
    <w:div w:id="211520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emf"/><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mcam@waikato.ac.nz" TargetMode="Externa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6.emf"/></Relationships>
</file>

<file path=word/_rels/footnotes.xml.rels><?xml version="1.0" encoding="UTF-8" standalone="yes"?>
<Relationships xmlns="http://schemas.openxmlformats.org/package/2006/relationships"><Relationship Id="rId3" Type="http://schemas.openxmlformats.org/officeDocument/2006/relationships/hyperlink" Target="https://www.stats.govt.nz/news/new-zealands-birth-rate-lowest-on-record-deaths-drop-in-2020" TargetMode="External"/><Relationship Id="rId2" Type="http://schemas.openxmlformats.org/officeDocument/2006/relationships/hyperlink" Target="https://www.stats.govt.nz/information-releases/subnational-population-estimates-at-30-june-2020" TargetMode="External"/><Relationship Id="rId1" Type="http://schemas.openxmlformats.org/officeDocument/2006/relationships/hyperlink" Target="https://www.stats.govt.nz/news/2018-census-data-release-delayed" TargetMode="External"/><Relationship Id="rId5" Type="http://schemas.openxmlformats.org/officeDocument/2006/relationships/hyperlink" Target="http://www.ipss.go.jp/site-ad/index_english/population-e.html" TargetMode="External"/><Relationship Id="rId4" Type="http://schemas.openxmlformats.org/officeDocument/2006/relationships/hyperlink" Target="http://datainfoplus.stats.govt.nz/item/nz.govt.stats/58180123-b856-4fed-9b91-b006d16e43b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2012-03-17T00:00:00</PublishDate>
  <Abstract>The.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BA4B58-3CF9-48E2-B67A-723FC06D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7687</Words>
  <Characters>43818</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ECON499-11C (HAM)</vt:lpstr>
    </vt:vector>
  </TitlesOfParts>
  <Company>University of Waikato</Company>
  <LinksUpToDate>false</LinksUpToDate>
  <CharactersWithSpaces>51403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ECON499-11C (HAM)</dc:title>
  <dc:subject>Facebook and Twitter: How reliably do they predict the New Zealand 2011 election results?</dc:subject>
  <dc:creator>Waikato Management School</dc:creator>
  <cp:lastModifiedBy>Tony Fenton</cp:lastModifiedBy>
  <cp:revision>2</cp:revision>
  <cp:lastPrinted>2021-04-13T02:06:00Z</cp:lastPrinted>
  <dcterms:created xsi:type="dcterms:W3CDTF">2021-04-14T01:08:00Z</dcterms:created>
  <dcterms:modified xsi:type="dcterms:W3CDTF">2021-04-14T01:08:00Z</dcterms:modified>
</cp:coreProperties>
</file>