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E9277A" w14:textId="6E96E513" w:rsidR="001B68EB" w:rsidRDefault="000E19ED" w:rsidP="0083201B">
      <w:r>
        <w:rPr>
          <w:noProof/>
          <w:lang w:eastAsia="en-NZ"/>
        </w:rPr>
        <w:drawing>
          <wp:anchor distT="0" distB="0" distL="114300" distR="114300" simplePos="0" relativeHeight="251682816" behindDoc="1" locked="0" layoutInCell="1" allowOverlap="1" wp14:anchorId="5D4ACA79" wp14:editId="194666A4">
            <wp:simplePos x="0" y="0"/>
            <wp:positionH relativeFrom="column">
              <wp:posOffset>-914400</wp:posOffset>
            </wp:positionH>
            <wp:positionV relativeFrom="paragraph">
              <wp:posOffset>-639767</wp:posOffset>
            </wp:positionV>
            <wp:extent cx="7546616" cy="10668152"/>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VERS_RES_WH.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6616" cy="10668152"/>
                    </a:xfrm>
                    <a:prstGeom prst="rect">
                      <a:avLst/>
                    </a:prstGeom>
                  </pic:spPr>
                </pic:pic>
              </a:graphicData>
            </a:graphic>
            <wp14:sizeRelH relativeFrom="page">
              <wp14:pctWidth>0</wp14:pctWidth>
            </wp14:sizeRelH>
            <wp14:sizeRelV relativeFrom="page">
              <wp14:pctHeight>0</wp14:pctHeight>
            </wp14:sizeRelV>
          </wp:anchor>
        </w:drawing>
      </w:r>
    </w:p>
    <w:p w14:paraId="0C9C7746" w14:textId="77777777" w:rsidR="001B68EB" w:rsidRDefault="001B68EB" w:rsidP="0083201B"/>
    <w:p w14:paraId="699866F5" w14:textId="77777777" w:rsidR="00A075A5" w:rsidRDefault="00A075A5" w:rsidP="0083201B"/>
    <w:p w14:paraId="16B2BD7E" w14:textId="77777777" w:rsidR="00A075A5" w:rsidRDefault="00A075A5" w:rsidP="0083201B"/>
    <w:p w14:paraId="621C413F" w14:textId="77777777" w:rsidR="00A075A5" w:rsidRDefault="00A075A5" w:rsidP="0083201B"/>
    <w:p w14:paraId="70FFE9BF" w14:textId="77777777" w:rsidR="00A075A5" w:rsidRDefault="00A075A5" w:rsidP="0083201B"/>
    <w:p w14:paraId="24B738C1" w14:textId="77777777" w:rsidR="00A075A5" w:rsidRDefault="00A075A5" w:rsidP="0083201B"/>
    <w:p w14:paraId="2408FB0A" w14:textId="77777777" w:rsidR="00A075A5" w:rsidRDefault="00A075A5" w:rsidP="0083201B"/>
    <w:p w14:paraId="07936795" w14:textId="77777777" w:rsidR="00A075A5" w:rsidRDefault="00A075A5" w:rsidP="0083201B"/>
    <w:p w14:paraId="3CF97467" w14:textId="77777777" w:rsidR="00A075A5" w:rsidRDefault="00A075A5" w:rsidP="0083201B"/>
    <w:p w14:paraId="48F372E0" w14:textId="77777777" w:rsidR="00A075A5" w:rsidRDefault="00A075A5" w:rsidP="0083201B"/>
    <w:p w14:paraId="3E8AE4F3" w14:textId="77777777" w:rsidR="00A075A5" w:rsidRDefault="00A075A5" w:rsidP="0083201B"/>
    <w:p w14:paraId="717E157E" w14:textId="77777777" w:rsidR="00A075A5" w:rsidRDefault="00A075A5" w:rsidP="0083201B"/>
    <w:p w14:paraId="0D0B6D1A" w14:textId="77777777" w:rsidR="00A075A5" w:rsidRDefault="00A075A5" w:rsidP="0083201B"/>
    <w:p w14:paraId="0A652855" w14:textId="77777777" w:rsidR="00A075A5" w:rsidRDefault="00A075A5" w:rsidP="0083201B"/>
    <w:p w14:paraId="65C90CF5" w14:textId="77777777" w:rsidR="00A075A5" w:rsidRDefault="00A075A5" w:rsidP="0083201B"/>
    <w:p w14:paraId="6D03092A" w14:textId="77777777" w:rsidR="00A075A5" w:rsidRDefault="000E19ED" w:rsidP="0083201B">
      <w:r>
        <w:rPr>
          <w:noProof/>
          <w:lang w:eastAsia="en-NZ"/>
        </w:rPr>
        <w:drawing>
          <wp:anchor distT="0" distB="0" distL="114300" distR="114300" simplePos="0" relativeHeight="251683840" behindDoc="0" locked="0" layoutInCell="1" allowOverlap="1" wp14:anchorId="3CDC5D85" wp14:editId="6CFC9D24">
            <wp:simplePos x="0" y="0"/>
            <wp:positionH relativeFrom="column">
              <wp:posOffset>-122829</wp:posOffset>
            </wp:positionH>
            <wp:positionV relativeFrom="paragraph">
              <wp:posOffset>3238851</wp:posOffset>
            </wp:positionV>
            <wp:extent cx="1639840" cy="1126499"/>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_RES_WHITE.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41310" cy="1127509"/>
                    </a:xfrm>
                    <a:prstGeom prst="rect">
                      <a:avLst/>
                    </a:prstGeom>
                  </pic:spPr>
                </pic:pic>
              </a:graphicData>
            </a:graphic>
            <wp14:sizeRelH relativeFrom="page">
              <wp14:pctWidth>0</wp14:pctWidth>
            </wp14:sizeRelH>
            <wp14:sizeRelV relativeFrom="page">
              <wp14:pctHeight>0</wp14:pctHeight>
            </wp14:sizeRelV>
          </wp:anchor>
        </w:drawing>
      </w:r>
      <w:r w:rsidR="002E1AD8">
        <w:rPr>
          <w:noProof/>
          <w:lang w:eastAsia="en-NZ"/>
        </w:rPr>
        <mc:AlternateContent>
          <mc:Choice Requires="wps">
            <w:drawing>
              <wp:anchor distT="0" distB="0" distL="114300" distR="114300" simplePos="0" relativeHeight="251675648" behindDoc="0" locked="0" layoutInCell="1" allowOverlap="1" wp14:anchorId="32256883" wp14:editId="60273BEF">
                <wp:simplePos x="0" y="0"/>
                <wp:positionH relativeFrom="column">
                  <wp:posOffset>-204470</wp:posOffset>
                </wp:positionH>
                <wp:positionV relativeFrom="paragraph">
                  <wp:posOffset>348265</wp:posOffset>
                </wp:positionV>
                <wp:extent cx="3821373" cy="1787525"/>
                <wp:effectExtent l="0" t="0" r="0" b="3175"/>
                <wp:wrapNone/>
                <wp:docPr id="5" name="Text Box 5"/>
                <wp:cNvGraphicFramePr/>
                <a:graphic xmlns:a="http://schemas.openxmlformats.org/drawingml/2006/main">
                  <a:graphicData uri="http://schemas.microsoft.com/office/word/2010/wordprocessingShape">
                    <wps:wsp>
                      <wps:cNvSpPr txBox="1"/>
                      <wps:spPr>
                        <a:xfrm>
                          <a:off x="0" y="0"/>
                          <a:ext cx="3821373" cy="1787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3A8BC1" w14:textId="6E6A80D8" w:rsidR="00BA2895" w:rsidRPr="000E19ED" w:rsidRDefault="00BA2895" w:rsidP="006225BB">
                            <w:pPr>
                              <w:pStyle w:val="CoverMainHeading"/>
                              <w:rPr>
                                <w:color w:val="auto"/>
                              </w:rPr>
                            </w:pPr>
                            <w:r>
                              <w:rPr>
                                <w:color w:val="auto"/>
                              </w:rPr>
                              <w:t>Waikato Economic Projections</w:t>
                            </w:r>
                          </w:p>
                          <w:p w14:paraId="2710566A" w14:textId="462C8DB5" w:rsidR="00BA2895" w:rsidRPr="000E19ED" w:rsidRDefault="00BA2895" w:rsidP="006225BB">
                            <w:pPr>
                              <w:pStyle w:val="CoverSub-Heading"/>
                              <w:rPr>
                                <w:color w:val="auto"/>
                              </w:rPr>
                            </w:pPr>
                            <w:r>
                              <w:rPr>
                                <w:color w:val="auto"/>
                              </w:rPr>
                              <w:t>2021 Update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256883" id="_x0000_t202" coordsize="21600,21600" o:spt="202" path="m,l,21600r21600,l21600,xe">
                <v:stroke joinstyle="miter"/>
                <v:path gradientshapeok="t" o:connecttype="rect"/>
              </v:shapetype>
              <v:shape id="Text Box 5" o:spid="_x0000_s1026" type="#_x0000_t202" style="position:absolute;left:0;text-align:left;margin-left:-16.1pt;margin-top:27.4pt;width:300.9pt;height:140.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" filled="f" stroked="f" strokeweight=".5pt">
                <v:textbox>
                  <w:txbxContent>
                    <w:p w14:paraId="7E3A8BC1" w14:textId="6E6A80D8" w:rsidR="00BA2895" w:rsidRPr="000E19ED" w:rsidRDefault="00BA2895" w:rsidP="006225BB">
                      <w:pPr>
                        <w:pStyle w:val="CoverMainHeading"/>
                        <w:rPr>
                          <w:color w:val="auto"/>
                        </w:rPr>
                      </w:pPr>
                      <w:r>
                        <w:rPr>
                          <w:color w:val="auto"/>
                        </w:rPr>
                        <w:t>Waikato Economic Projections</w:t>
                      </w:r>
                    </w:p>
                    <w:p w14:paraId="2710566A" w14:textId="462C8DB5" w:rsidR="00BA2895" w:rsidRPr="000E19ED" w:rsidRDefault="00BA2895" w:rsidP="006225BB">
                      <w:pPr>
                        <w:pStyle w:val="CoverSub-Heading"/>
                        <w:rPr>
                          <w:color w:val="auto"/>
                        </w:rPr>
                      </w:pPr>
                      <w:r>
                        <w:rPr>
                          <w:color w:val="auto"/>
                        </w:rPr>
                        <w:t>2021 Update</w:t>
                      </w:r>
                    </w:p>
                  </w:txbxContent>
                </v:textbox>
              </v:shape>
            </w:pict>
          </mc:Fallback>
        </mc:AlternateContent>
      </w:r>
      <w:r w:rsidR="002E1AD8">
        <w:rPr>
          <w:noProof/>
          <w:lang w:eastAsia="en-NZ"/>
        </w:rPr>
        <mc:AlternateContent>
          <mc:Choice Requires="wps">
            <w:drawing>
              <wp:anchor distT="0" distB="0" distL="114300" distR="114300" simplePos="0" relativeHeight="251676672" behindDoc="0" locked="0" layoutInCell="1" allowOverlap="1" wp14:anchorId="5C333190" wp14:editId="3301572D">
                <wp:simplePos x="0" y="0"/>
                <wp:positionH relativeFrom="column">
                  <wp:posOffset>-204470</wp:posOffset>
                </wp:positionH>
                <wp:positionV relativeFrom="paragraph">
                  <wp:posOffset>2225248</wp:posOffset>
                </wp:positionV>
                <wp:extent cx="4094328" cy="504968"/>
                <wp:effectExtent l="0" t="0" r="0" b="0"/>
                <wp:wrapNone/>
                <wp:docPr id="17" name="Text Box 17"/>
                <wp:cNvGraphicFramePr/>
                <a:graphic xmlns:a="http://schemas.openxmlformats.org/drawingml/2006/main">
                  <a:graphicData uri="http://schemas.microsoft.com/office/word/2010/wordprocessingShape">
                    <wps:wsp>
                      <wps:cNvSpPr txBox="1"/>
                      <wps:spPr>
                        <a:xfrm>
                          <a:off x="0" y="0"/>
                          <a:ext cx="4094328" cy="5049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A534FB" w14:textId="50410658" w:rsidR="00BA2895" w:rsidRPr="000E19ED" w:rsidRDefault="00BA2895" w:rsidP="00EC6A89">
                            <w:pPr>
                              <w:pStyle w:val="CoverDateStatus"/>
                              <w:rPr>
                                <w:color w:val="auto"/>
                              </w:rPr>
                            </w:pPr>
                            <w:r>
                              <w:rPr>
                                <w:color w:val="auto"/>
                              </w:rPr>
                              <w:t>2</w:t>
                            </w:r>
                            <w:r w:rsidR="00FE7ECB">
                              <w:rPr>
                                <w:color w:val="auto"/>
                              </w:rPr>
                              <w:t>9</w:t>
                            </w:r>
                            <w:r>
                              <w:rPr>
                                <w:color w:val="auto"/>
                              </w:rPr>
                              <w:t>th</w:t>
                            </w:r>
                            <w:r w:rsidRPr="000E19ED">
                              <w:rPr>
                                <w:color w:val="auto"/>
                              </w:rPr>
                              <w:t xml:space="preserve"> </w:t>
                            </w:r>
                            <w:r>
                              <w:rPr>
                                <w:color w:val="auto"/>
                              </w:rPr>
                              <w:t>April</w:t>
                            </w:r>
                            <w:r w:rsidRPr="000E19ED">
                              <w:rPr>
                                <w:color w:val="auto"/>
                              </w:rPr>
                              <w:t xml:space="preserve"> </w:t>
                            </w:r>
                            <w:r>
                              <w:rPr>
                                <w:color w:val="auto"/>
                              </w:rPr>
                              <w:t>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33190" id="Text Box 17" o:spid="_x0000_s1027" type="#_x0000_t202" style="position:absolute;left:0;text-align:left;margin-left:-16.1pt;margin-top:175.2pt;width:322.4pt;height:39.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" filled="f" stroked="f" strokeweight=".5pt">
                <v:textbox>
                  <w:txbxContent>
                    <w:p w14:paraId="18A534FB" w14:textId="50410658" w:rsidR="00BA2895" w:rsidRPr="000E19ED" w:rsidRDefault="00BA2895" w:rsidP="00EC6A89">
                      <w:pPr>
                        <w:pStyle w:val="CoverDateStatus"/>
                        <w:rPr>
                          <w:color w:val="auto"/>
                        </w:rPr>
                      </w:pPr>
                      <w:r>
                        <w:rPr>
                          <w:color w:val="auto"/>
                        </w:rPr>
                        <w:t>2</w:t>
                      </w:r>
                      <w:r w:rsidR="00FE7ECB">
                        <w:rPr>
                          <w:color w:val="auto"/>
                        </w:rPr>
                        <w:t>9</w:t>
                      </w:r>
                      <w:r>
                        <w:rPr>
                          <w:color w:val="auto"/>
                        </w:rPr>
                        <w:t>th</w:t>
                      </w:r>
                      <w:r w:rsidRPr="000E19ED">
                        <w:rPr>
                          <w:color w:val="auto"/>
                        </w:rPr>
                        <w:t xml:space="preserve"> </w:t>
                      </w:r>
                      <w:r>
                        <w:rPr>
                          <w:color w:val="auto"/>
                        </w:rPr>
                        <w:t>April</w:t>
                      </w:r>
                      <w:r w:rsidRPr="000E19ED">
                        <w:rPr>
                          <w:color w:val="auto"/>
                        </w:rPr>
                        <w:t xml:space="preserve"> </w:t>
                      </w:r>
                      <w:r>
                        <w:rPr>
                          <w:color w:val="auto"/>
                        </w:rPr>
                        <w:t>2021</w:t>
                      </w:r>
                    </w:p>
                  </w:txbxContent>
                </v:textbox>
              </v:shape>
            </w:pict>
          </mc:Fallback>
        </mc:AlternateContent>
      </w:r>
      <w:r w:rsidR="00FD23B6">
        <w:rPr>
          <w:noProof/>
          <w:lang w:eastAsia="en-NZ"/>
        </w:rPr>
        <w:drawing>
          <wp:anchor distT="0" distB="0" distL="114300" distR="114300" simplePos="0" relativeHeight="251632640" behindDoc="0" locked="0" layoutInCell="1" allowOverlap="1" wp14:anchorId="557A2879" wp14:editId="4A6F7C9A">
            <wp:simplePos x="0" y="0"/>
            <wp:positionH relativeFrom="column">
              <wp:posOffset>-4749421</wp:posOffset>
            </wp:positionH>
            <wp:positionV relativeFrom="paragraph">
              <wp:posOffset>2908339</wp:posOffset>
            </wp:positionV>
            <wp:extent cx="1997710" cy="1104900"/>
            <wp:effectExtent l="0" t="0" r="2540" b="0"/>
            <wp:wrapNone/>
            <wp:docPr id="2050" name="Picture 4" descr="ME_CON_W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4" descr="ME_CON_WH.tif"/>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97710" cy="1104900"/>
                    </a:xfrm>
                    <a:prstGeom prst="rect">
                      <a:avLst/>
                    </a:prstGeom>
                    <a:noFill/>
                    <a:ln>
                      <a:noFill/>
                    </a:ln>
                  </pic:spPr>
                </pic:pic>
              </a:graphicData>
            </a:graphic>
          </wp:anchor>
        </w:drawing>
      </w:r>
    </w:p>
    <w:p w14:paraId="28837B42" w14:textId="77777777" w:rsidR="00A075A5" w:rsidRDefault="00A075A5" w:rsidP="00EC6A89">
      <w:pPr>
        <w:pStyle w:val="CoverDateStatus"/>
        <w:sectPr w:rsidR="00A075A5" w:rsidSect="00C939D4">
          <w:pgSz w:w="11907" w:h="16839" w:code="9"/>
          <w:pgMar w:top="1008" w:right="1152" w:bottom="1728" w:left="1440" w:header="720" w:footer="720" w:gutter="0"/>
          <w:cols w:space="720"/>
          <w:docGrid w:linePitch="360"/>
        </w:sectPr>
      </w:pPr>
    </w:p>
    <w:p w14:paraId="571C5523" w14:textId="77777777" w:rsidR="00B63FA3" w:rsidRDefault="00B63FA3" w:rsidP="0083201B"/>
    <w:p w14:paraId="74FB0876" w14:textId="77777777" w:rsidR="00326555" w:rsidRDefault="00FF72BF" w:rsidP="0083201B">
      <w:r>
        <w:rPr>
          <w:noProof/>
          <w:lang w:eastAsia="en-NZ"/>
        </w:rPr>
        <w:drawing>
          <wp:anchor distT="0" distB="0" distL="114300" distR="114300" simplePos="0" relativeHeight="251681792" behindDoc="0" locked="0" layoutInCell="1" allowOverlap="1" wp14:anchorId="320C0733" wp14:editId="127CEE8C">
            <wp:simplePos x="0" y="0"/>
            <wp:positionH relativeFrom="column">
              <wp:posOffset>47938</wp:posOffset>
            </wp:positionH>
            <wp:positionV relativeFrom="paragraph">
              <wp:posOffset>69215</wp:posOffset>
            </wp:positionV>
            <wp:extent cx="2582858" cy="886376"/>
            <wp:effectExtent l="0" t="0" r="0" b="9525"/>
            <wp:wrapNone/>
            <wp:docPr id="2" name="Picture 2">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_RES_COLOUR &amp; BLACK &amp; GRAPHIC.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2858" cy="886376"/>
                    </a:xfrm>
                    <a:prstGeom prst="rect">
                      <a:avLst/>
                    </a:prstGeom>
                  </pic:spPr>
                </pic:pic>
              </a:graphicData>
            </a:graphic>
            <wp14:sizeRelH relativeFrom="page">
              <wp14:pctWidth>0</wp14:pctWidth>
            </wp14:sizeRelH>
            <wp14:sizeRelV relativeFrom="page">
              <wp14:pctHeight>0</wp14:pctHeight>
            </wp14:sizeRelV>
          </wp:anchor>
        </w:drawing>
      </w:r>
    </w:p>
    <w:p w14:paraId="5D809485" w14:textId="77777777" w:rsidR="00CD1F0F" w:rsidRDefault="00CD1F0F" w:rsidP="0083201B"/>
    <w:p w14:paraId="28CEA3AF" w14:textId="77777777" w:rsidR="00CD1F0F" w:rsidRDefault="00CD1F0F" w:rsidP="0083201B"/>
    <w:p w14:paraId="1A6A4399" w14:textId="77777777" w:rsidR="00CD1F0F" w:rsidRDefault="00CD1F0F" w:rsidP="0083201B"/>
    <w:p w14:paraId="79B001F2" w14:textId="77777777" w:rsidR="002E2048" w:rsidRDefault="002E2048" w:rsidP="0083201B"/>
    <w:p w14:paraId="7047980C" w14:textId="77777777" w:rsidR="00326555" w:rsidRDefault="00CD1F0F" w:rsidP="0083201B">
      <w:r>
        <w:rPr>
          <w:noProof/>
          <w:lang w:eastAsia="en-NZ"/>
        </w:rPr>
        <mc:AlternateContent>
          <mc:Choice Requires="wps">
            <w:drawing>
              <wp:anchor distT="0" distB="0" distL="114300" distR="114300" simplePos="0" relativeHeight="251660288" behindDoc="0" locked="0" layoutInCell="1" allowOverlap="1" wp14:anchorId="5DD81B1E" wp14:editId="469538D2">
                <wp:simplePos x="0" y="0"/>
                <wp:positionH relativeFrom="column">
                  <wp:posOffset>-67917</wp:posOffset>
                </wp:positionH>
                <wp:positionV relativeFrom="paragraph">
                  <wp:posOffset>351676</wp:posOffset>
                </wp:positionV>
                <wp:extent cx="3903260" cy="1719618"/>
                <wp:effectExtent l="0" t="0" r="0" b="0"/>
                <wp:wrapNone/>
                <wp:docPr id="4" name="Text Box 4"/>
                <wp:cNvGraphicFramePr/>
                <a:graphic xmlns:a="http://schemas.openxmlformats.org/drawingml/2006/main">
                  <a:graphicData uri="http://schemas.microsoft.com/office/word/2010/wordprocessingShape">
                    <wps:wsp>
                      <wps:cNvSpPr txBox="1"/>
                      <wps:spPr>
                        <a:xfrm>
                          <a:off x="0" y="0"/>
                          <a:ext cx="3903260" cy="17196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3ECAE1" w14:textId="0035D397" w:rsidR="00BA2895" w:rsidRPr="00B36BD1" w:rsidRDefault="00BA2895" w:rsidP="00D10991">
                            <w:pPr>
                              <w:pStyle w:val="InsideMainHeading"/>
                              <w:jc w:val="left"/>
                              <w:rPr>
                                <w:sz w:val="52"/>
                              </w:rPr>
                            </w:pPr>
                            <w:r>
                              <w:rPr>
                                <w:sz w:val="52"/>
                              </w:rPr>
                              <w:t>Waikato Economic Projections</w:t>
                            </w:r>
                          </w:p>
                          <w:p w14:paraId="30F9E019" w14:textId="3584EDC6" w:rsidR="00BA2895" w:rsidRPr="00B36BD1" w:rsidRDefault="00BA2895" w:rsidP="00D10991">
                            <w:pPr>
                              <w:pStyle w:val="InsideSub-Heading"/>
                              <w:jc w:val="left"/>
                              <w:rPr>
                                <w:sz w:val="36"/>
                              </w:rPr>
                            </w:pPr>
                            <w:r>
                              <w:rPr>
                                <w:sz w:val="36"/>
                              </w:rPr>
                              <w:t>2021 Update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81B1E" id="Text Box 4" o:spid="_x0000_s1028" type="#_x0000_t202" style="position:absolute;left:0;text-align:left;margin-left:-5.35pt;margin-top:27.7pt;width:307.35pt;height:13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" filled="f" stroked="f" strokeweight=".5pt">
                <v:textbox>
                  <w:txbxContent>
                    <w:p w14:paraId="113ECAE1" w14:textId="0035D397" w:rsidR="00BA2895" w:rsidRPr="00B36BD1" w:rsidRDefault="00BA2895" w:rsidP="00D10991">
                      <w:pPr>
                        <w:pStyle w:val="InsideMainHeading"/>
                        <w:jc w:val="left"/>
                        <w:rPr>
                          <w:sz w:val="52"/>
                        </w:rPr>
                      </w:pPr>
                      <w:r>
                        <w:rPr>
                          <w:sz w:val="52"/>
                        </w:rPr>
                        <w:t>Waikato Economic Projections</w:t>
                      </w:r>
                    </w:p>
                    <w:p w14:paraId="30F9E019" w14:textId="3584EDC6" w:rsidR="00BA2895" w:rsidRPr="00B36BD1" w:rsidRDefault="00BA2895" w:rsidP="00D10991">
                      <w:pPr>
                        <w:pStyle w:val="InsideSub-Heading"/>
                        <w:jc w:val="left"/>
                        <w:rPr>
                          <w:sz w:val="36"/>
                        </w:rPr>
                      </w:pPr>
                      <w:r>
                        <w:rPr>
                          <w:sz w:val="36"/>
                        </w:rPr>
                        <w:t>2021 Update</w:t>
                      </w:r>
                    </w:p>
                  </w:txbxContent>
                </v:textbox>
              </v:shape>
            </w:pict>
          </mc:Fallback>
        </mc:AlternateContent>
      </w:r>
    </w:p>
    <w:p w14:paraId="05A0FD5F" w14:textId="77777777" w:rsidR="00B36BD1" w:rsidRDefault="00B36BD1" w:rsidP="0083201B"/>
    <w:p w14:paraId="0C24E67A" w14:textId="77777777" w:rsidR="00B36BD1" w:rsidRDefault="00B36BD1" w:rsidP="0083201B"/>
    <w:p w14:paraId="7EAA9C4D" w14:textId="77777777" w:rsidR="00326555" w:rsidRDefault="00326555" w:rsidP="0083201B"/>
    <w:p w14:paraId="723B28D6" w14:textId="77777777" w:rsidR="00326555" w:rsidRDefault="00326555" w:rsidP="0083201B"/>
    <w:p w14:paraId="629A851D" w14:textId="77777777" w:rsidR="00326555" w:rsidRDefault="00326555" w:rsidP="0083201B"/>
    <w:p w14:paraId="5CF18E9D" w14:textId="77777777" w:rsidR="004E3DB0" w:rsidRDefault="004E3DB0" w:rsidP="007A2A12"/>
    <w:p w14:paraId="39F8F826" w14:textId="77777777" w:rsidR="00B63FA3" w:rsidRPr="009905B6" w:rsidRDefault="00CD5777" w:rsidP="007A2A12">
      <w:r>
        <w:rPr>
          <w:noProof/>
          <w:lang w:eastAsia="en-NZ"/>
        </w:rPr>
        <mc:AlternateContent>
          <mc:Choice Requires="wps">
            <w:drawing>
              <wp:anchor distT="0" distB="0" distL="114300" distR="114300" simplePos="0" relativeHeight="251663360" behindDoc="0" locked="0" layoutInCell="1" allowOverlap="1" wp14:anchorId="65B1B1D8" wp14:editId="6D009856">
                <wp:simplePos x="0" y="0"/>
                <wp:positionH relativeFrom="column">
                  <wp:posOffset>-67945</wp:posOffset>
                </wp:positionH>
                <wp:positionV relativeFrom="paragraph">
                  <wp:posOffset>145367</wp:posOffset>
                </wp:positionV>
                <wp:extent cx="6251575" cy="1296538"/>
                <wp:effectExtent l="0" t="0" r="0" b="0"/>
                <wp:wrapNone/>
                <wp:docPr id="1" name="Text Box 1"/>
                <wp:cNvGraphicFramePr/>
                <a:graphic xmlns:a="http://schemas.openxmlformats.org/drawingml/2006/main">
                  <a:graphicData uri="http://schemas.microsoft.com/office/word/2010/wordprocessingShape">
                    <wps:wsp>
                      <wps:cNvSpPr txBox="1"/>
                      <wps:spPr>
                        <a:xfrm>
                          <a:off x="0" y="0"/>
                          <a:ext cx="6251575" cy="12965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D18480" w14:textId="77777777" w:rsidR="00BA2895" w:rsidRPr="00B36BD1" w:rsidRDefault="00BA2895" w:rsidP="00D10991">
                            <w:pPr>
                              <w:pStyle w:val="InsideMainHeading"/>
                              <w:jc w:val="left"/>
                              <w:rPr>
                                <w:sz w:val="52"/>
                              </w:rPr>
                            </w:pPr>
                            <w:r w:rsidRPr="00B36BD1">
                              <w:rPr>
                                <w:sz w:val="52"/>
                              </w:rPr>
                              <w:t xml:space="preserve">Prepared for </w:t>
                            </w:r>
                          </w:p>
                          <w:p w14:paraId="6AD528D8" w14:textId="4568CFB2" w:rsidR="00BA2895" w:rsidRPr="00FF72BF" w:rsidRDefault="00BA2895" w:rsidP="00FF72BF">
                            <w:pPr>
                              <w:pStyle w:val="CoverClientName"/>
                            </w:pPr>
                            <w:r>
                              <w:t>Waikato Regional Council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B1B1D8" id="Text Box 1" o:spid="_x0000_s1029" type="#_x0000_t202" style="position:absolute;left:0;text-align:left;margin-left:-5.35pt;margin-top:11.45pt;width:492.25pt;height:102.1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" filled="f" stroked="f" strokeweight=".5pt">
                <v:textbox>
                  <w:txbxContent>
                    <w:p w14:paraId="72D18480" w14:textId="77777777" w:rsidR="00BA2895" w:rsidRPr="00B36BD1" w:rsidRDefault="00BA2895" w:rsidP="00D10991">
                      <w:pPr>
                        <w:pStyle w:val="InsideMainHeading"/>
                        <w:jc w:val="left"/>
                        <w:rPr>
                          <w:sz w:val="52"/>
                        </w:rPr>
                      </w:pPr>
                      <w:r w:rsidRPr="00B36BD1">
                        <w:rPr>
                          <w:sz w:val="52"/>
                        </w:rPr>
                        <w:t xml:space="preserve">Prepared for </w:t>
                      </w:r>
                    </w:p>
                    <w:p w14:paraId="6AD528D8" w14:textId="4568CFB2" w:rsidR="00BA2895" w:rsidRPr="00FF72BF" w:rsidRDefault="00BA2895" w:rsidP="00FF72BF">
                      <w:pPr>
                        <w:pStyle w:val="CoverClientName"/>
                      </w:pPr>
                      <w:r>
                        <w:t>Waikato Regional Council</w:t>
                      </w:r>
                    </w:p>
                  </w:txbxContent>
                </v:textbox>
              </v:shape>
            </w:pict>
          </mc:Fallback>
        </mc:AlternateContent>
      </w:r>
    </w:p>
    <w:p w14:paraId="1F549EDA" w14:textId="77777777" w:rsidR="00B63FA3" w:rsidRPr="009905B6" w:rsidRDefault="00B63FA3" w:rsidP="007A2A12"/>
    <w:p w14:paraId="0C5ECAE5" w14:textId="77777777" w:rsidR="00B63FA3" w:rsidRPr="009905B6" w:rsidRDefault="00B63FA3" w:rsidP="007A2A12"/>
    <w:p w14:paraId="2B9A616C" w14:textId="77777777" w:rsidR="00E05C4C" w:rsidRDefault="00E05C4C" w:rsidP="007A2A12"/>
    <w:p w14:paraId="5C9848D8" w14:textId="77777777" w:rsidR="00DE4D82" w:rsidRDefault="00DE4D82" w:rsidP="0083201B">
      <w:pPr>
        <w:pStyle w:val="InsideDocumentDetails"/>
      </w:pPr>
    </w:p>
    <w:p w14:paraId="592F73CA" w14:textId="77777777" w:rsidR="00DE4D82" w:rsidRDefault="00DE4D82" w:rsidP="0083201B">
      <w:pPr>
        <w:pStyle w:val="InsideDocumentDetails"/>
      </w:pPr>
    </w:p>
    <w:p w14:paraId="0C79E6C0" w14:textId="77777777" w:rsidR="00CD1F0F" w:rsidRDefault="00CD1F0F" w:rsidP="0083201B">
      <w:pPr>
        <w:pStyle w:val="InsideDocumentDetails"/>
      </w:pPr>
    </w:p>
    <w:p w14:paraId="3B960979" w14:textId="77777777" w:rsidR="00DE4D82" w:rsidRDefault="00DE4D82" w:rsidP="0083201B">
      <w:pPr>
        <w:pStyle w:val="InsideDocumentDetails"/>
      </w:pPr>
    </w:p>
    <w:p w14:paraId="05F649DE" w14:textId="77777777" w:rsidR="00F26EA5" w:rsidRDefault="00F26EA5" w:rsidP="0083201B">
      <w:pPr>
        <w:pStyle w:val="InsideDocumentDetails"/>
      </w:pPr>
    </w:p>
    <w:p w14:paraId="547C7422" w14:textId="77777777" w:rsidR="00DE4D82" w:rsidRDefault="00DE4D82" w:rsidP="0083201B">
      <w:pPr>
        <w:pStyle w:val="InsideDocumentDetails"/>
      </w:pPr>
    </w:p>
    <w:p w14:paraId="458015D1" w14:textId="4E226C4C" w:rsidR="00B63FA3" w:rsidRPr="00CA6119" w:rsidRDefault="00B63FA3" w:rsidP="0083201B">
      <w:pPr>
        <w:pStyle w:val="InsideDocumentDetails"/>
        <w:rPr>
          <w:sz w:val="22"/>
        </w:rPr>
      </w:pPr>
      <w:r w:rsidRPr="00CA6119">
        <w:rPr>
          <w:sz w:val="22"/>
        </w:rPr>
        <w:t xml:space="preserve">Document reference: </w:t>
      </w:r>
      <w:r w:rsidR="00AC3587" w:rsidRPr="00AC3587">
        <w:rPr>
          <w:sz w:val="22"/>
        </w:rPr>
        <w:t>EW042.19/Report</w:t>
      </w:r>
    </w:p>
    <w:p w14:paraId="5DD1C81E" w14:textId="41558831" w:rsidR="00B63FA3" w:rsidRPr="00CA6119" w:rsidRDefault="00B63FA3" w:rsidP="0083201B">
      <w:pPr>
        <w:pStyle w:val="InsideDocumentDetails"/>
        <w:rPr>
          <w:sz w:val="22"/>
        </w:rPr>
      </w:pPr>
      <w:r w:rsidRPr="00CA6119">
        <w:rPr>
          <w:sz w:val="22"/>
        </w:rPr>
        <w:t xml:space="preserve">Date of this version: </w:t>
      </w:r>
      <w:r w:rsidR="00AC3587">
        <w:rPr>
          <w:sz w:val="22"/>
        </w:rPr>
        <w:t>2</w:t>
      </w:r>
      <w:r w:rsidR="00FE7ECB">
        <w:rPr>
          <w:sz w:val="22"/>
        </w:rPr>
        <w:t>9th</w:t>
      </w:r>
      <w:r w:rsidR="00AC3587">
        <w:rPr>
          <w:sz w:val="22"/>
        </w:rPr>
        <w:t xml:space="preserve"> April 2021</w:t>
      </w:r>
    </w:p>
    <w:p w14:paraId="53F714E4" w14:textId="118E274D" w:rsidR="00B63FA3" w:rsidRPr="00CA6119" w:rsidRDefault="00B63FA3" w:rsidP="0083201B">
      <w:pPr>
        <w:pStyle w:val="InsideDocumentDetails"/>
        <w:rPr>
          <w:sz w:val="22"/>
        </w:rPr>
      </w:pPr>
      <w:r w:rsidRPr="00CA6119">
        <w:rPr>
          <w:sz w:val="22"/>
        </w:rPr>
        <w:t xml:space="preserve">Report author(s): </w:t>
      </w:r>
      <w:r w:rsidR="00AC3587">
        <w:rPr>
          <w:sz w:val="22"/>
        </w:rPr>
        <w:t>Dr Pascal Cheon &amp; Dr Garry McDonald</w:t>
      </w:r>
    </w:p>
    <w:p w14:paraId="48E9618B" w14:textId="7F9EE4F5" w:rsidR="00CD1F0F" w:rsidRPr="00CA6119" w:rsidRDefault="00CD1F0F" w:rsidP="0083201B">
      <w:pPr>
        <w:pStyle w:val="InsideDocumentDetails"/>
        <w:rPr>
          <w:sz w:val="22"/>
        </w:rPr>
      </w:pPr>
      <w:r w:rsidRPr="00CA6119">
        <w:rPr>
          <w:sz w:val="22"/>
        </w:rPr>
        <w:t xml:space="preserve">Director approval: </w:t>
      </w:r>
      <w:r w:rsidR="00AC3587">
        <w:rPr>
          <w:sz w:val="22"/>
        </w:rPr>
        <w:t>Dr Garry McDonald</w:t>
      </w:r>
    </w:p>
    <w:p w14:paraId="3C4FEEDB" w14:textId="77777777" w:rsidR="00CD1F0F" w:rsidRPr="00CA6119" w:rsidRDefault="00B56B38" w:rsidP="0083201B">
      <w:pPr>
        <w:pStyle w:val="InsideDocumentDetails"/>
        <w:rPr>
          <w:b/>
        </w:rPr>
      </w:pPr>
      <w:hyperlink r:id="rId13" w:history="1">
        <w:r w:rsidR="007A2A12">
          <w:rPr>
            <w:rStyle w:val="Hyperlink"/>
            <w:b/>
          </w:rPr>
          <w:t>www.me.co.nz</w:t>
        </w:r>
      </w:hyperlink>
    </w:p>
    <w:p w14:paraId="618B2DD6" w14:textId="77777777" w:rsidR="00B36BD1" w:rsidRDefault="00B36BD1" w:rsidP="0083201B">
      <w:pPr>
        <w:pStyle w:val="InsideDocumentDetails"/>
        <w:rPr>
          <w:sz w:val="22"/>
        </w:rPr>
      </w:pPr>
    </w:p>
    <w:p w14:paraId="336A4242" w14:textId="77777777" w:rsidR="00F03ED6" w:rsidRPr="00CA6119" w:rsidRDefault="00E05C4C" w:rsidP="0083201B">
      <w:pPr>
        <w:pStyle w:val="InsideDocumentDetails"/>
        <w:rPr>
          <w:sz w:val="22"/>
        </w:rPr>
      </w:pPr>
      <w:r w:rsidRPr="00CA6119">
        <w:rPr>
          <w:sz w:val="22"/>
        </w:rPr>
        <w:t>Disclaimer</w:t>
      </w:r>
      <w:r w:rsidR="00CD1F0F" w:rsidRPr="00CA6119">
        <w:rPr>
          <w:sz w:val="22"/>
        </w:rPr>
        <w:t xml:space="preserve">: </w:t>
      </w:r>
      <w:r w:rsidRPr="00CA6119">
        <w:rPr>
          <w:sz w:val="22"/>
        </w:rPr>
        <w:t>Although every effort has been made to ensure accuracy and reliability of the information contained in this report, neither Market Economics Limited nor any of its employees shall be held liable for the information, opinions and forecasts expressed in this report.</w:t>
      </w:r>
      <w:r w:rsidRPr="00CA6119">
        <w:rPr>
          <w:noProof/>
          <w:sz w:val="22"/>
          <w:lang w:eastAsia="en-NZ"/>
        </w:rPr>
        <mc:AlternateContent>
          <mc:Choice Requires="wps">
            <w:drawing>
              <wp:anchor distT="0" distB="0" distL="114300" distR="114300" simplePos="0" relativeHeight="251678720" behindDoc="0" locked="0" layoutInCell="1" allowOverlap="1" wp14:anchorId="4AE11886" wp14:editId="38769B21">
                <wp:simplePos x="0" y="0"/>
                <wp:positionH relativeFrom="column">
                  <wp:posOffset>1350645</wp:posOffset>
                </wp:positionH>
                <wp:positionV relativeFrom="paragraph">
                  <wp:posOffset>2830830</wp:posOffset>
                </wp:positionV>
                <wp:extent cx="4490114" cy="1173708"/>
                <wp:effectExtent l="0" t="0" r="5715" b="7620"/>
                <wp:wrapNone/>
                <wp:docPr id="22" name="Text Box 22"/>
                <wp:cNvGraphicFramePr/>
                <a:graphic xmlns:a="http://schemas.openxmlformats.org/drawingml/2006/main">
                  <a:graphicData uri="http://schemas.microsoft.com/office/word/2010/wordprocessingShape">
                    <wps:wsp>
                      <wps:cNvSpPr txBox="1"/>
                      <wps:spPr>
                        <a:xfrm>
                          <a:off x="0" y="0"/>
                          <a:ext cx="4490114" cy="11737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A87B2E" w14:textId="77777777" w:rsidR="00BA2895" w:rsidRDefault="00BA2895" w:rsidP="008320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11886" id="Text Box 22" o:spid="_x0000_s1030" type="#_x0000_t202" style="position:absolute;left:0;text-align:left;margin-left:106.35pt;margin-top:222.9pt;width:353.55pt;height:92.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" fillcolor="white [3201]" stroked="f" strokeweight=".5pt">
                <v:textbox>
                  <w:txbxContent>
                    <w:p w14:paraId="4CA87B2E" w14:textId="77777777" w:rsidR="00BA2895" w:rsidRDefault="00BA2895" w:rsidP="0083201B"/>
                  </w:txbxContent>
                </v:textbox>
              </v:shape>
            </w:pict>
          </mc:Fallback>
        </mc:AlternateContent>
      </w:r>
    </w:p>
    <w:p w14:paraId="0E7CBDD0" w14:textId="77777777" w:rsidR="00326555" w:rsidRPr="00CA6119" w:rsidRDefault="00326555" w:rsidP="0083201B">
      <w:pPr>
        <w:rPr>
          <w:sz w:val="20"/>
        </w:rPr>
        <w:sectPr w:rsidR="00326555" w:rsidRPr="00CA6119" w:rsidSect="002E2048">
          <w:headerReference w:type="default" r:id="rId14"/>
          <w:footerReference w:type="default" r:id="rId15"/>
          <w:pgSz w:w="11907" w:h="16839" w:code="9"/>
          <w:pgMar w:top="1009" w:right="1134" w:bottom="851" w:left="1418" w:header="720" w:footer="720" w:gutter="0"/>
          <w:cols w:space="720"/>
          <w:docGrid w:linePitch="360"/>
        </w:sectPr>
      </w:pPr>
    </w:p>
    <w:sdt>
      <w:sdtPr>
        <w:rPr>
          <w:rFonts w:eastAsiaTheme="minorHAnsi" w:cstheme="minorBidi"/>
          <w:b w:val="0"/>
          <w:bCs w:val="0"/>
          <w:color w:val="auto"/>
          <w:sz w:val="22"/>
          <w:szCs w:val="22"/>
          <w:lang w:val="en-NZ" w:eastAsia="en-US"/>
        </w:rPr>
        <w:id w:val="1444109141"/>
        <w:docPartObj>
          <w:docPartGallery w:val="Table of Contents"/>
          <w:docPartUnique/>
        </w:docPartObj>
      </w:sdtPr>
      <w:sdtEndPr>
        <w:rPr>
          <w:noProof/>
        </w:rPr>
      </w:sdtEndPr>
      <w:sdtContent>
        <w:p w14:paraId="0DE3A124" w14:textId="57A333DE" w:rsidR="00334FA0" w:rsidRDefault="00334FA0" w:rsidP="00334FA0">
          <w:pPr>
            <w:pStyle w:val="TOCHeading"/>
            <w:numPr>
              <w:ilvl w:val="0"/>
              <w:numId w:val="0"/>
            </w:numPr>
            <w:ind w:left="994" w:hanging="994"/>
          </w:pPr>
          <w:r>
            <w:t>Contents</w:t>
          </w:r>
        </w:p>
        <w:p w14:paraId="36FC3AEF" w14:textId="09E806D2" w:rsidR="00334FA0" w:rsidRDefault="00334FA0">
          <w:pPr>
            <w:pStyle w:val="TOC1"/>
            <w:rPr>
              <w:rFonts w:asciiTheme="minorHAnsi" w:eastAsiaTheme="minorEastAsia" w:hAnsiTheme="minorHAnsi" w:cstheme="minorBidi"/>
              <w:b w:val="0"/>
              <w:bCs w:val="0"/>
              <w:caps w:val="0"/>
              <w:sz w:val="22"/>
              <w:szCs w:val="22"/>
              <w:lang w:eastAsia="en-NZ"/>
            </w:rPr>
          </w:pPr>
          <w:r>
            <w:fldChar w:fldCharType="begin"/>
          </w:r>
          <w:r>
            <w:instrText xml:space="preserve"> TOC \o "1-3" \h \z \u </w:instrText>
          </w:r>
          <w:r>
            <w:fldChar w:fldCharType="separate"/>
          </w:r>
          <w:hyperlink w:anchor="_Toc70694879" w:history="1">
            <w:r>
              <w:rPr>
                <w:rStyle w:val="Hyperlink"/>
              </w:rPr>
              <w:t>1</w:t>
            </w:r>
            <w:r>
              <w:rPr>
                <w:rFonts w:asciiTheme="minorHAnsi" w:eastAsiaTheme="minorEastAsia" w:hAnsiTheme="minorHAnsi" w:cstheme="minorBidi"/>
                <w:b w:val="0"/>
                <w:bCs w:val="0"/>
                <w:caps w:val="0"/>
                <w:sz w:val="22"/>
                <w:szCs w:val="22"/>
                <w:lang w:eastAsia="en-NZ"/>
              </w:rPr>
              <w:tab/>
            </w:r>
            <w:r w:rsidRPr="00091051">
              <w:rPr>
                <w:rStyle w:val="Hyperlink"/>
              </w:rPr>
              <w:t>Introduction</w:t>
            </w:r>
            <w:r>
              <w:rPr>
                <w:webHidden/>
              </w:rPr>
              <w:tab/>
            </w:r>
            <w:r>
              <w:rPr>
                <w:webHidden/>
              </w:rPr>
              <w:fldChar w:fldCharType="begin"/>
            </w:r>
            <w:r>
              <w:rPr>
                <w:webHidden/>
              </w:rPr>
              <w:instrText xml:space="preserve"> PAGEREF _Toc70694879 \h </w:instrText>
            </w:r>
            <w:r>
              <w:rPr>
                <w:webHidden/>
              </w:rPr>
            </w:r>
            <w:r>
              <w:rPr>
                <w:webHidden/>
              </w:rPr>
              <w:fldChar w:fldCharType="separate"/>
            </w:r>
            <w:r>
              <w:rPr>
                <w:webHidden/>
              </w:rPr>
              <w:t>2</w:t>
            </w:r>
            <w:r>
              <w:rPr>
                <w:webHidden/>
              </w:rPr>
              <w:fldChar w:fldCharType="end"/>
            </w:r>
          </w:hyperlink>
        </w:p>
        <w:p w14:paraId="056DA1D8" w14:textId="15BF8B0D" w:rsidR="00334FA0" w:rsidRDefault="00B56B38">
          <w:pPr>
            <w:pStyle w:val="TOC1"/>
            <w:rPr>
              <w:rFonts w:asciiTheme="minorHAnsi" w:eastAsiaTheme="minorEastAsia" w:hAnsiTheme="minorHAnsi" w:cstheme="minorBidi"/>
              <w:b w:val="0"/>
              <w:bCs w:val="0"/>
              <w:caps w:val="0"/>
              <w:sz w:val="22"/>
              <w:szCs w:val="22"/>
              <w:lang w:eastAsia="en-NZ"/>
            </w:rPr>
          </w:pPr>
          <w:hyperlink w:anchor="_Toc70694880" w:history="1">
            <w:r w:rsidR="00334FA0">
              <w:rPr>
                <w:rStyle w:val="Hyperlink"/>
              </w:rPr>
              <w:t>2</w:t>
            </w:r>
            <w:r w:rsidR="00334FA0">
              <w:rPr>
                <w:rFonts w:asciiTheme="minorHAnsi" w:eastAsiaTheme="minorEastAsia" w:hAnsiTheme="minorHAnsi" w:cstheme="minorBidi"/>
                <w:b w:val="0"/>
                <w:bCs w:val="0"/>
                <w:caps w:val="0"/>
                <w:sz w:val="22"/>
                <w:szCs w:val="22"/>
                <w:lang w:eastAsia="en-NZ"/>
              </w:rPr>
              <w:tab/>
            </w:r>
            <w:r w:rsidR="00334FA0" w:rsidRPr="00091051">
              <w:rPr>
                <w:rStyle w:val="Hyperlink"/>
              </w:rPr>
              <w:t>Projections of economic outcomes by SA2</w:t>
            </w:r>
            <w:r w:rsidR="00334FA0">
              <w:rPr>
                <w:webHidden/>
              </w:rPr>
              <w:tab/>
            </w:r>
            <w:r w:rsidR="00334FA0">
              <w:rPr>
                <w:webHidden/>
              </w:rPr>
              <w:fldChar w:fldCharType="begin"/>
            </w:r>
            <w:r w:rsidR="00334FA0">
              <w:rPr>
                <w:webHidden/>
              </w:rPr>
              <w:instrText xml:space="preserve"> PAGEREF _Toc70694880 \h </w:instrText>
            </w:r>
            <w:r w:rsidR="00334FA0">
              <w:rPr>
                <w:webHidden/>
              </w:rPr>
            </w:r>
            <w:r w:rsidR="00334FA0">
              <w:rPr>
                <w:webHidden/>
              </w:rPr>
              <w:fldChar w:fldCharType="separate"/>
            </w:r>
            <w:r w:rsidR="00334FA0">
              <w:rPr>
                <w:webHidden/>
              </w:rPr>
              <w:t>4</w:t>
            </w:r>
            <w:r w:rsidR="00334FA0">
              <w:rPr>
                <w:webHidden/>
              </w:rPr>
              <w:fldChar w:fldCharType="end"/>
            </w:r>
          </w:hyperlink>
        </w:p>
        <w:p w14:paraId="59E685BA" w14:textId="4FB19451" w:rsidR="00334FA0" w:rsidRDefault="00B56B38">
          <w:pPr>
            <w:pStyle w:val="TOC2"/>
            <w:rPr>
              <w:rFonts w:eastAsiaTheme="minorEastAsia" w:cstheme="minorBidi"/>
              <w:smallCaps w:val="0"/>
              <w:sz w:val="22"/>
              <w:szCs w:val="22"/>
              <w:lang w:eastAsia="en-NZ"/>
            </w:rPr>
          </w:pPr>
          <w:hyperlink w:anchor="_Toc70694881" w:history="1">
            <w:r w:rsidR="00334FA0">
              <w:rPr>
                <w:rStyle w:val="Hyperlink"/>
              </w:rPr>
              <w:t>2</w:t>
            </w:r>
            <w:r w:rsidR="00334FA0" w:rsidRPr="00091051">
              <w:rPr>
                <w:rStyle w:val="Hyperlink"/>
              </w:rPr>
              <w:t>.1</w:t>
            </w:r>
            <w:r w:rsidR="00334FA0">
              <w:rPr>
                <w:rFonts w:eastAsiaTheme="minorEastAsia" w:cstheme="minorBidi"/>
                <w:smallCaps w:val="0"/>
                <w:sz w:val="22"/>
                <w:szCs w:val="22"/>
                <w:lang w:eastAsia="en-NZ"/>
              </w:rPr>
              <w:tab/>
            </w:r>
            <w:r w:rsidR="00334FA0" w:rsidRPr="00091051">
              <w:rPr>
                <w:rStyle w:val="Hyperlink"/>
              </w:rPr>
              <w:t>Methodology</w:t>
            </w:r>
            <w:r w:rsidR="00334FA0">
              <w:rPr>
                <w:webHidden/>
              </w:rPr>
              <w:tab/>
            </w:r>
            <w:r w:rsidR="00334FA0">
              <w:rPr>
                <w:webHidden/>
              </w:rPr>
              <w:fldChar w:fldCharType="begin"/>
            </w:r>
            <w:r w:rsidR="00334FA0">
              <w:rPr>
                <w:webHidden/>
              </w:rPr>
              <w:instrText xml:space="preserve"> PAGEREF _Toc70694881 \h </w:instrText>
            </w:r>
            <w:r w:rsidR="00334FA0">
              <w:rPr>
                <w:webHidden/>
              </w:rPr>
            </w:r>
            <w:r w:rsidR="00334FA0">
              <w:rPr>
                <w:webHidden/>
              </w:rPr>
              <w:fldChar w:fldCharType="separate"/>
            </w:r>
            <w:r w:rsidR="00334FA0">
              <w:rPr>
                <w:webHidden/>
              </w:rPr>
              <w:t>4</w:t>
            </w:r>
            <w:r w:rsidR="00334FA0">
              <w:rPr>
                <w:webHidden/>
              </w:rPr>
              <w:fldChar w:fldCharType="end"/>
            </w:r>
          </w:hyperlink>
        </w:p>
        <w:p w14:paraId="7BA51B7D" w14:textId="432A8B33" w:rsidR="00334FA0" w:rsidRDefault="00B56B38">
          <w:pPr>
            <w:pStyle w:val="TOC2"/>
            <w:rPr>
              <w:rFonts w:eastAsiaTheme="minorEastAsia" w:cstheme="minorBidi"/>
              <w:smallCaps w:val="0"/>
              <w:sz w:val="22"/>
              <w:szCs w:val="22"/>
              <w:lang w:eastAsia="en-NZ"/>
            </w:rPr>
          </w:pPr>
          <w:hyperlink w:anchor="_Toc70694882" w:history="1">
            <w:r w:rsidR="00334FA0">
              <w:rPr>
                <w:rStyle w:val="Hyperlink"/>
              </w:rPr>
              <w:t>2</w:t>
            </w:r>
            <w:r w:rsidR="00334FA0" w:rsidRPr="00091051">
              <w:rPr>
                <w:rStyle w:val="Hyperlink"/>
              </w:rPr>
              <w:t>.2</w:t>
            </w:r>
            <w:r w:rsidR="00334FA0">
              <w:rPr>
                <w:rFonts w:eastAsiaTheme="minorEastAsia" w:cstheme="minorBidi"/>
                <w:smallCaps w:val="0"/>
                <w:sz w:val="22"/>
                <w:szCs w:val="22"/>
                <w:lang w:eastAsia="en-NZ"/>
              </w:rPr>
              <w:tab/>
            </w:r>
            <w:r w:rsidR="00334FA0" w:rsidRPr="00091051">
              <w:rPr>
                <w:rStyle w:val="Hyperlink"/>
              </w:rPr>
              <w:t>Data for the SA2 Projections</w:t>
            </w:r>
            <w:r w:rsidR="00334FA0">
              <w:rPr>
                <w:webHidden/>
              </w:rPr>
              <w:tab/>
            </w:r>
            <w:r w:rsidR="00334FA0">
              <w:rPr>
                <w:webHidden/>
              </w:rPr>
              <w:fldChar w:fldCharType="begin"/>
            </w:r>
            <w:r w:rsidR="00334FA0">
              <w:rPr>
                <w:webHidden/>
              </w:rPr>
              <w:instrText xml:space="preserve"> PAGEREF _Toc70694882 \h </w:instrText>
            </w:r>
            <w:r w:rsidR="00334FA0">
              <w:rPr>
                <w:webHidden/>
              </w:rPr>
            </w:r>
            <w:r w:rsidR="00334FA0">
              <w:rPr>
                <w:webHidden/>
              </w:rPr>
              <w:fldChar w:fldCharType="separate"/>
            </w:r>
            <w:r w:rsidR="00334FA0">
              <w:rPr>
                <w:webHidden/>
              </w:rPr>
              <w:t>6</w:t>
            </w:r>
            <w:r w:rsidR="00334FA0">
              <w:rPr>
                <w:webHidden/>
              </w:rPr>
              <w:fldChar w:fldCharType="end"/>
            </w:r>
          </w:hyperlink>
        </w:p>
        <w:p w14:paraId="081C9255" w14:textId="579A018F" w:rsidR="00334FA0" w:rsidRDefault="00B56B38">
          <w:pPr>
            <w:pStyle w:val="TOC2"/>
            <w:rPr>
              <w:rFonts w:eastAsiaTheme="minorEastAsia" w:cstheme="minorBidi"/>
              <w:smallCaps w:val="0"/>
              <w:sz w:val="22"/>
              <w:szCs w:val="22"/>
              <w:lang w:eastAsia="en-NZ"/>
            </w:rPr>
          </w:pPr>
          <w:hyperlink w:anchor="_Toc70694883" w:history="1">
            <w:r w:rsidR="00334FA0">
              <w:rPr>
                <w:rStyle w:val="Hyperlink"/>
              </w:rPr>
              <w:t>2</w:t>
            </w:r>
            <w:r w:rsidR="00334FA0" w:rsidRPr="00091051">
              <w:rPr>
                <w:rStyle w:val="Hyperlink"/>
              </w:rPr>
              <w:t>.3</w:t>
            </w:r>
            <w:r w:rsidR="00334FA0">
              <w:rPr>
                <w:rFonts w:eastAsiaTheme="minorEastAsia" w:cstheme="minorBidi"/>
                <w:smallCaps w:val="0"/>
                <w:sz w:val="22"/>
                <w:szCs w:val="22"/>
                <w:lang w:eastAsia="en-NZ"/>
              </w:rPr>
              <w:tab/>
            </w:r>
            <w:r w:rsidR="00334FA0" w:rsidRPr="00091051">
              <w:rPr>
                <w:rStyle w:val="Hyperlink"/>
              </w:rPr>
              <w:t>Model Specification</w:t>
            </w:r>
            <w:r w:rsidR="00334FA0">
              <w:rPr>
                <w:webHidden/>
              </w:rPr>
              <w:tab/>
            </w:r>
            <w:r w:rsidR="00334FA0">
              <w:rPr>
                <w:webHidden/>
              </w:rPr>
              <w:fldChar w:fldCharType="begin"/>
            </w:r>
            <w:r w:rsidR="00334FA0">
              <w:rPr>
                <w:webHidden/>
              </w:rPr>
              <w:instrText xml:space="preserve"> PAGEREF _Toc70694883 \h </w:instrText>
            </w:r>
            <w:r w:rsidR="00334FA0">
              <w:rPr>
                <w:webHidden/>
              </w:rPr>
            </w:r>
            <w:r w:rsidR="00334FA0">
              <w:rPr>
                <w:webHidden/>
              </w:rPr>
              <w:fldChar w:fldCharType="separate"/>
            </w:r>
            <w:r w:rsidR="00334FA0">
              <w:rPr>
                <w:webHidden/>
              </w:rPr>
              <w:t>6</w:t>
            </w:r>
            <w:r w:rsidR="00334FA0">
              <w:rPr>
                <w:webHidden/>
              </w:rPr>
              <w:fldChar w:fldCharType="end"/>
            </w:r>
          </w:hyperlink>
        </w:p>
        <w:p w14:paraId="4B268D89" w14:textId="489C965D" w:rsidR="00334FA0" w:rsidRDefault="00B56B38">
          <w:pPr>
            <w:pStyle w:val="TOC1"/>
            <w:rPr>
              <w:rFonts w:asciiTheme="minorHAnsi" w:eastAsiaTheme="minorEastAsia" w:hAnsiTheme="minorHAnsi" w:cstheme="minorBidi"/>
              <w:b w:val="0"/>
              <w:bCs w:val="0"/>
              <w:caps w:val="0"/>
              <w:sz w:val="22"/>
              <w:szCs w:val="22"/>
              <w:lang w:eastAsia="en-NZ"/>
            </w:rPr>
          </w:pPr>
          <w:hyperlink w:anchor="_Toc70694884" w:history="1">
            <w:r w:rsidR="00334FA0">
              <w:rPr>
                <w:rStyle w:val="Hyperlink"/>
              </w:rPr>
              <w:t>3</w:t>
            </w:r>
            <w:r w:rsidR="00334FA0">
              <w:rPr>
                <w:rFonts w:asciiTheme="minorHAnsi" w:eastAsiaTheme="minorEastAsia" w:hAnsiTheme="minorHAnsi" w:cstheme="minorBidi"/>
                <w:b w:val="0"/>
                <w:bCs w:val="0"/>
                <w:caps w:val="0"/>
                <w:sz w:val="22"/>
                <w:szCs w:val="22"/>
                <w:lang w:eastAsia="en-NZ"/>
              </w:rPr>
              <w:tab/>
            </w:r>
            <w:r w:rsidR="00334FA0" w:rsidRPr="00091051">
              <w:rPr>
                <w:rStyle w:val="Hyperlink"/>
              </w:rPr>
              <w:t>Regional Level Commentary</w:t>
            </w:r>
            <w:r w:rsidR="00334FA0">
              <w:rPr>
                <w:webHidden/>
              </w:rPr>
              <w:tab/>
            </w:r>
            <w:r w:rsidR="00334FA0">
              <w:rPr>
                <w:webHidden/>
              </w:rPr>
              <w:fldChar w:fldCharType="begin"/>
            </w:r>
            <w:r w:rsidR="00334FA0">
              <w:rPr>
                <w:webHidden/>
              </w:rPr>
              <w:instrText xml:space="preserve"> PAGEREF _Toc70694884 \h </w:instrText>
            </w:r>
            <w:r w:rsidR="00334FA0">
              <w:rPr>
                <w:webHidden/>
              </w:rPr>
            </w:r>
            <w:r w:rsidR="00334FA0">
              <w:rPr>
                <w:webHidden/>
              </w:rPr>
              <w:fldChar w:fldCharType="separate"/>
            </w:r>
            <w:r w:rsidR="00334FA0">
              <w:rPr>
                <w:webHidden/>
              </w:rPr>
              <w:t>8</w:t>
            </w:r>
            <w:r w:rsidR="00334FA0">
              <w:rPr>
                <w:webHidden/>
              </w:rPr>
              <w:fldChar w:fldCharType="end"/>
            </w:r>
          </w:hyperlink>
        </w:p>
        <w:p w14:paraId="2110A5A0" w14:textId="744063FC" w:rsidR="00334FA0" w:rsidRDefault="00B56B38">
          <w:pPr>
            <w:pStyle w:val="TOC2"/>
            <w:rPr>
              <w:rFonts w:eastAsiaTheme="minorEastAsia" w:cstheme="minorBidi"/>
              <w:smallCaps w:val="0"/>
              <w:sz w:val="22"/>
              <w:szCs w:val="22"/>
              <w:lang w:eastAsia="en-NZ"/>
            </w:rPr>
          </w:pPr>
          <w:hyperlink w:anchor="_Toc70694885" w:history="1">
            <w:r w:rsidR="00334FA0">
              <w:rPr>
                <w:rStyle w:val="Hyperlink"/>
              </w:rPr>
              <w:t>3</w:t>
            </w:r>
            <w:r w:rsidR="00334FA0" w:rsidRPr="00091051">
              <w:rPr>
                <w:rStyle w:val="Hyperlink"/>
              </w:rPr>
              <w:t>.1</w:t>
            </w:r>
            <w:r w:rsidR="00334FA0">
              <w:rPr>
                <w:rFonts w:eastAsiaTheme="minorEastAsia" w:cstheme="minorBidi"/>
                <w:smallCaps w:val="0"/>
                <w:sz w:val="22"/>
                <w:szCs w:val="22"/>
                <w:lang w:eastAsia="en-NZ"/>
              </w:rPr>
              <w:tab/>
            </w:r>
            <w:r w:rsidR="00334FA0" w:rsidRPr="00091051">
              <w:rPr>
                <w:rStyle w:val="Hyperlink"/>
              </w:rPr>
              <w:t>Employment</w:t>
            </w:r>
            <w:r w:rsidR="00334FA0">
              <w:rPr>
                <w:webHidden/>
              </w:rPr>
              <w:tab/>
            </w:r>
            <w:r w:rsidR="00334FA0">
              <w:rPr>
                <w:webHidden/>
              </w:rPr>
              <w:fldChar w:fldCharType="begin"/>
            </w:r>
            <w:r w:rsidR="00334FA0">
              <w:rPr>
                <w:webHidden/>
              </w:rPr>
              <w:instrText xml:space="preserve"> PAGEREF _Toc70694885 \h </w:instrText>
            </w:r>
            <w:r w:rsidR="00334FA0">
              <w:rPr>
                <w:webHidden/>
              </w:rPr>
            </w:r>
            <w:r w:rsidR="00334FA0">
              <w:rPr>
                <w:webHidden/>
              </w:rPr>
              <w:fldChar w:fldCharType="separate"/>
            </w:r>
            <w:r w:rsidR="00334FA0">
              <w:rPr>
                <w:webHidden/>
              </w:rPr>
              <w:t>8</w:t>
            </w:r>
            <w:r w:rsidR="00334FA0">
              <w:rPr>
                <w:webHidden/>
              </w:rPr>
              <w:fldChar w:fldCharType="end"/>
            </w:r>
          </w:hyperlink>
        </w:p>
        <w:p w14:paraId="16AEB156" w14:textId="31E0AD1E" w:rsidR="00334FA0" w:rsidRDefault="00B56B38">
          <w:pPr>
            <w:pStyle w:val="TOC2"/>
            <w:rPr>
              <w:rFonts w:eastAsiaTheme="minorEastAsia" w:cstheme="minorBidi"/>
              <w:smallCaps w:val="0"/>
              <w:sz w:val="22"/>
              <w:szCs w:val="22"/>
              <w:lang w:eastAsia="en-NZ"/>
            </w:rPr>
          </w:pPr>
          <w:hyperlink w:anchor="_Toc70694886" w:history="1">
            <w:r w:rsidR="00334FA0">
              <w:rPr>
                <w:rStyle w:val="Hyperlink"/>
              </w:rPr>
              <w:t>3</w:t>
            </w:r>
            <w:r w:rsidR="00334FA0" w:rsidRPr="00091051">
              <w:rPr>
                <w:rStyle w:val="Hyperlink"/>
              </w:rPr>
              <w:t>.2</w:t>
            </w:r>
            <w:r w:rsidR="00334FA0">
              <w:rPr>
                <w:rFonts w:eastAsiaTheme="minorEastAsia" w:cstheme="minorBidi"/>
                <w:smallCaps w:val="0"/>
                <w:sz w:val="22"/>
                <w:szCs w:val="22"/>
                <w:lang w:eastAsia="en-NZ"/>
              </w:rPr>
              <w:tab/>
            </w:r>
            <w:r w:rsidR="00334FA0" w:rsidRPr="00091051">
              <w:rPr>
                <w:rStyle w:val="Hyperlink"/>
              </w:rPr>
              <w:t>Value Added</w:t>
            </w:r>
            <w:r w:rsidR="00334FA0">
              <w:rPr>
                <w:webHidden/>
              </w:rPr>
              <w:tab/>
            </w:r>
            <w:r w:rsidR="00334FA0">
              <w:rPr>
                <w:webHidden/>
              </w:rPr>
              <w:fldChar w:fldCharType="begin"/>
            </w:r>
            <w:r w:rsidR="00334FA0">
              <w:rPr>
                <w:webHidden/>
              </w:rPr>
              <w:instrText xml:space="preserve"> PAGEREF _Toc70694886 \h </w:instrText>
            </w:r>
            <w:r w:rsidR="00334FA0">
              <w:rPr>
                <w:webHidden/>
              </w:rPr>
            </w:r>
            <w:r w:rsidR="00334FA0">
              <w:rPr>
                <w:webHidden/>
              </w:rPr>
              <w:fldChar w:fldCharType="separate"/>
            </w:r>
            <w:r w:rsidR="00334FA0">
              <w:rPr>
                <w:webHidden/>
              </w:rPr>
              <w:t>8</w:t>
            </w:r>
            <w:r w:rsidR="00334FA0">
              <w:rPr>
                <w:webHidden/>
              </w:rPr>
              <w:fldChar w:fldCharType="end"/>
            </w:r>
          </w:hyperlink>
        </w:p>
        <w:p w14:paraId="46D5EB49" w14:textId="20AC8591" w:rsidR="00334FA0" w:rsidRDefault="00B56B38">
          <w:pPr>
            <w:pStyle w:val="TOC1"/>
            <w:rPr>
              <w:rFonts w:asciiTheme="minorHAnsi" w:eastAsiaTheme="minorEastAsia" w:hAnsiTheme="minorHAnsi" w:cstheme="minorBidi"/>
              <w:b w:val="0"/>
              <w:bCs w:val="0"/>
              <w:caps w:val="0"/>
              <w:sz w:val="22"/>
              <w:szCs w:val="22"/>
              <w:lang w:eastAsia="en-NZ"/>
            </w:rPr>
          </w:pPr>
          <w:hyperlink w:anchor="_Toc70694887" w:history="1">
            <w:r w:rsidR="00334FA0">
              <w:rPr>
                <w:rStyle w:val="Hyperlink"/>
              </w:rPr>
              <w:t>4</w:t>
            </w:r>
            <w:r w:rsidR="00334FA0">
              <w:rPr>
                <w:rFonts w:asciiTheme="minorHAnsi" w:eastAsiaTheme="minorEastAsia" w:hAnsiTheme="minorHAnsi" w:cstheme="minorBidi"/>
                <w:b w:val="0"/>
                <w:bCs w:val="0"/>
                <w:caps w:val="0"/>
                <w:sz w:val="22"/>
                <w:szCs w:val="22"/>
                <w:lang w:eastAsia="en-NZ"/>
              </w:rPr>
              <w:tab/>
            </w:r>
            <w:r w:rsidR="00334FA0" w:rsidRPr="00091051">
              <w:rPr>
                <w:rStyle w:val="Hyperlink"/>
              </w:rPr>
              <w:t>TA Level Commentary</w:t>
            </w:r>
            <w:r w:rsidR="00334FA0">
              <w:rPr>
                <w:webHidden/>
              </w:rPr>
              <w:tab/>
            </w:r>
            <w:r w:rsidR="00334FA0">
              <w:rPr>
                <w:webHidden/>
              </w:rPr>
              <w:fldChar w:fldCharType="begin"/>
            </w:r>
            <w:r w:rsidR="00334FA0">
              <w:rPr>
                <w:webHidden/>
              </w:rPr>
              <w:instrText xml:space="preserve"> PAGEREF _Toc70694887 \h </w:instrText>
            </w:r>
            <w:r w:rsidR="00334FA0">
              <w:rPr>
                <w:webHidden/>
              </w:rPr>
            </w:r>
            <w:r w:rsidR="00334FA0">
              <w:rPr>
                <w:webHidden/>
              </w:rPr>
              <w:fldChar w:fldCharType="separate"/>
            </w:r>
            <w:r w:rsidR="00334FA0">
              <w:rPr>
                <w:webHidden/>
              </w:rPr>
              <w:t>11</w:t>
            </w:r>
            <w:r w:rsidR="00334FA0">
              <w:rPr>
                <w:webHidden/>
              </w:rPr>
              <w:fldChar w:fldCharType="end"/>
            </w:r>
          </w:hyperlink>
        </w:p>
        <w:p w14:paraId="17B02E75" w14:textId="54C75EBE" w:rsidR="00334FA0" w:rsidRDefault="00B56B38">
          <w:pPr>
            <w:pStyle w:val="TOC2"/>
            <w:rPr>
              <w:rFonts w:eastAsiaTheme="minorEastAsia" w:cstheme="minorBidi"/>
              <w:smallCaps w:val="0"/>
              <w:sz w:val="22"/>
              <w:szCs w:val="22"/>
              <w:lang w:eastAsia="en-NZ"/>
            </w:rPr>
          </w:pPr>
          <w:hyperlink w:anchor="_Toc70694888" w:history="1">
            <w:r w:rsidR="00334FA0">
              <w:rPr>
                <w:rStyle w:val="Hyperlink"/>
              </w:rPr>
              <w:t>4</w:t>
            </w:r>
            <w:r w:rsidR="00334FA0" w:rsidRPr="00091051">
              <w:rPr>
                <w:rStyle w:val="Hyperlink"/>
              </w:rPr>
              <w:t>.1</w:t>
            </w:r>
            <w:r w:rsidR="00334FA0">
              <w:rPr>
                <w:rFonts w:eastAsiaTheme="minorEastAsia" w:cstheme="minorBidi"/>
                <w:smallCaps w:val="0"/>
                <w:sz w:val="22"/>
                <w:szCs w:val="22"/>
                <w:lang w:eastAsia="en-NZ"/>
              </w:rPr>
              <w:tab/>
            </w:r>
            <w:r w:rsidR="00334FA0" w:rsidRPr="00091051">
              <w:rPr>
                <w:rStyle w:val="Hyperlink"/>
              </w:rPr>
              <w:t>Employment</w:t>
            </w:r>
            <w:r w:rsidR="00334FA0">
              <w:rPr>
                <w:webHidden/>
              </w:rPr>
              <w:tab/>
            </w:r>
            <w:r w:rsidR="00334FA0">
              <w:rPr>
                <w:webHidden/>
              </w:rPr>
              <w:fldChar w:fldCharType="begin"/>
            </w:r>
            <w:r w:rsidR="00334FA0">
              <w:rPr>
                <w:webHidden/>
              </w:rPr>
              <w:instrText xml:space="preserve"> PAGEREF _Toc70694888 \h </w:instrText>
            </w:r>
            <w:r w:rsidR="00334FA0">
              <w:rPr>
                <w:webHidden/>
              </w:rPr>
            </w:r>
            <w:r w:rsidR="00334FA0">
              <w:rPr>
                <w:webHidden/>
              </w:rPr>
              <w:fldChar w:fldCharType="separate"/>
            </w:r>
            <w:r w:rsidR="00334FA0">
              <w:rPr>
                <w:webHidden/>
              </w:rPr>
              <w:t>11</w:t>
            </w:r>
            <w:r w:rsidR="00334FA0">
              <w:rPr>
                <w:webHidden/>
              </w:rPr>
              <w:fldChar w:fldCharType="end"/>
            </w:r>
          </w:hyperlink>
        </w:p>
        <w:p w14:paraId="5CF2F74C" w14:textId="7FE69576" w:rsidR="00334FA0" w:rsidRDefault="00B56B38">
          <w:pPr>
            <w:pStyle w:val="TOC2"/>
            <w:rPr>
              <w:rFonts w:eastAsiaTheme="minorEastAsia" w:cstheme="minorBidi"/>
              <w:smallCaps w:val="0"/>
              <w:sz w:val="22"/>
              <w:szCs w:val="22"/>
              <w:lang w:eastAsia="en-NZ"/>
            </w:rPr>
          </w:pPr>
          <w:hyperlink w:anchor="_Toc70694889" w:history="1">
            <w:r w:rsidR="00334FA0">
              <w:rPr>
                <w:rStyle w:val="Hyperlink"/>
              </w:rPr>
              <w:t>4</w:t>
            </w:r>
            <w:r w:rsidR="00334FA0" w:rsidRPr="00091051">
              <w:rPr>
                <w:rStyle w:val="Hyperlink"/>
              </w:rPr>
              <w:t>.2</w:t>
            </w:r>
            <w:r w:rsidR="00334FA0">
              <w:rPr>
                <w:rFonts w:eastAsiaTheme="minorEastAsia" w:cstheme="minorBidi"/>
                <w:smallCaps w:val="0"/>
                <w:sz w:val="22"/>
                <w:szCs w:val="22"/>
                <w:lang w:eastAsia="en-NZ"/>
              </w:rPr>
              <w:tab/>
            </w:r>
            <w:r w:rsidR="00334FA0" w:rsidRPr="00091051">
              <w:rPr>
                <w:rStyle w:val="Hyperlink"/>
              </w:rPr>
              <w:t>Value Added</w:t>
            </w:r>
            <w:r w:rsidR="00334FA0">
              <w:rPr>
                <w:webHidden/>
              </w:rPr>
              <w:tab/>
            </w:r>
            <w:r w:rsidR="00334FA0">
              <w:rPr>
                <w:webHidden/>
              </w:rPr>
              <w:fldChar w:fldCharType="begin"/>
            </w:r>
            <w:r w:rsidR="00334FA0">
              <w:rPr>
                <w:webHidden/>
              </w:rPr>
              <w:instrText xml:space="preserve"> PAGEREF _Toc70694889 \h </w:instrText>
            </w:r>
            <w:r w:rsidR="00334FA0">
              <w:rPr>
                <w:webHidden/>
              </w:rPr>
            </w:r>
            <w:r w:rsidR="00334FA0">
              <w:rPr>
                <w:webHidden/>
              </w:rPr>
              <w:fldChar w:fldCharType="separate"/>
            </w:r>
            <w:r w:rsidR="00334FA0">
              <w:rPr>
                <w:webHidden/>
              </w:rPr>
              <w:t>14</w:t>
            </w:r>
            <w:r w:rsidR="00334FA0">
              <w:rPr>
                <w:webHidden/>
              </w:rPr>
              <w:fldChar w:fldCharType="end"/>
            </w:r>
          </w:hyperlink>
        </w:p>
        <w:p w14:paraId="700612AC" w14:textId="5418ECDB" w:rsidR="00334FA0" w:rsidRDefault="00B56B38">
          <w:pPr>
            <w:pStyle w:val="TOC2"/>
            <w:rPr>
              <w:rFonts w:eastAsiaTheme="minorEastAsia" w:cstheme="minorBidi"/>
              <w:smallCaps w:val="0"/>
              <w:sz w:val="22"/>
              <w:szCs w:val="22"/>
              <w:lang w:eastAsia="en-NZ"/>
            </w:rPr>
          </w:pPr>
          <w:hyperlink w:anchor="_Toc70694890" w:history="1">
            <w:r w:rsidR="00334FA0">
              <w:rPr>
                <w:rStyle w:val="Hyperlink"/>
              </w:rPr>
              <w:t>4</w:t>
            </w:r>
            <w:r w:rsidR="00334FA0" w:rsidRPr="00091051">
              <w:rPr>
                <w:rStyle w:val="Hyperlink"/>
              </w:rPr>
              <w:t>.3</w:t>
            </w:r>
            <w:r w:rsidR="00334FA0">
              <w:rPr>
                <w:rFonts w:eastAsiaTheme="minorEastAsia" w:cstheme="minorBidi"/>
                <w:smallCaps w:val="0"/>
                <w:sz w:val="22"/>
                <w:szCs w:val="22"/>
                <w:lang w:eastAsia="en-NZ"/>
              </w:rPr>
              <w:tab/>
            </w:r>
            <w:r w:rsidR="00334FA0" w:rsidRPr="00091051">
              <w:rPr>
                <w:rStyle w:val="Hyperlink"/>
              </w:rPr>
              <w:t>Projected within each TA</w:t>
            </w:r>
            <w:r w:rsidR="00334FA0">
              <w:rPr>
                <w:webHidden/>
              </w:rPr>
              <w:tab/>
            </w:r>
            <w:r w:rsidR="00334FA0">
              <w:rPr>
                <w:webHidden/>
              </w:rPr>
              <w:fldChar w:fldCharType="begin"/>
            </w:r>
            <w:r w:rsidR="00334FA0">
              <w:rPr>
                <w:webHidden/>
              </w:rPr>
              <w:instrText xml:space="preserve"> PAGEREF _Toc70694890 \h </w:instrText>
            </w:r>
            <w:r w:rsidR="00334FA0">
              <w:rPr>
                <w:webHidden/>
              </w:rPr>
            </w:r>
            <w:r w:rsidR="00334FA0">
              <w:rPr>
                <w:webHidden/>
              </w:rPr>
              <w:fldChar w:fldCharType="separate"/>
            </w:r>
            <w:r w:rsidR="00334FA0">
              <w:rPr>
                <w:webHidden/>
              </w:rPr>
              <w:t>16</w:t>
            </w:r>
            <w:r w:rsidR="00334FA0">
              <w:rPr>
                <w:webHidden/>
              </w:rPr>
              <w:fldChar w:fldCharType="end"/>
            </w:r>
          </w:hyperlink>
        </w:p>
        <w:p w14:paraId="34073830" w14:textId="47383F51" w:rsidR="00334FA0" w:rsidRDefault="00B56B38">
          <w:pPr>
            <w:pStyle w:val="TOC3"/>
            <w:tabs>
              <w:tab w:val="left" w:pos="1320"/>
              <w:tab w:val="right" w:leader="dot" w:pos="9345"/>
            </w:tabs>
            <w:rPr>
              <w:rFonts w:asciiTheme="minorHAnsi" w:eastAsiaTheme="minorEastAsia" w:hAnsiTheme="minorHAnsi"/>
              <w:noProof/>
              <w:lang w:eastAsia="en-NZ"/>
            </w:rPr>
          </w:pPr>
          <w:hyperlink w:anchor="_Toc70694891" w:history="1">
            <w:r w:rsidR="00334FA0">
              <w:rPr>
                <w:rStyle w:val="Hyperlink"/>
                <w:noProof/>
              </w:rPr>
              <w:t>4</w:t>
            </w:r>
            <w:r w:rsidR="00334FA0" w:rsidRPr="00091051">
              <w:rPr>
                <w:rStyle w:val="Hyperlink"/>
                <w:noProof/>
              </w:rPr>
              <w:t>.3.1</w:t>
            </w:r>
            <w:r w:rsidR="00334FA0">
              <w:rPr>
                <w:rFonts w:asciiTheme="minorHAnsi" w:eastAsiaTheme="minorEastAsia" w:hAnsiTheme="minorHAnsi"/>
                <w:noProof/>
                <w:lang w:eastAsia="en-NZ"/>
              </w:rPr>
              <w:tab/>
            </w:r>
            <w:r w:rsidR="00334FA0" w:rsidRPr="00091051">
              <w:rPr>
                <w:rStyle w:val="Hyperlink"/>
                <w:noProof/>
              </w:rPr>
              <w:t>Hamilton City</w:t>
            </w:r>
            <w:r w:rsidR="00334FA0">
              <w:rPr>
                <w:noProof/>
                <w:webHidden/>
              </w:rPr>
              <w:tab/>
            </w:r>
            <w:r w:rsidR="00334FA0">
              <w:rPr>
                <w:noProof/>
                <w:webHidden/>
              </w:rPr>
              <w:fldChar w:fldCharType="begin"/>
            </w:r>
            <w:r w:rsidR="00334FA0">
              <w:rPr>
                <w:noProof/>
                <w:webHidden/>
              </w:rPr>
              <w:instrText xml:space="preserve"> PAGEREF _Toc70694891 \h </w:instrText>
            </w:r>
            <w:r w:rsidR="00334FA0">
              <w:rPr>
                <w:noProof/>
                <w:webHidden/>
              </w:rPr>
            </w:r>
            <w:r w:rsidR="00334FA0">
              <w:rPr>
                <w:noProof/>
                <w:webHidden/>
              </w:rPr>
              <w:fldChar w:fldCharType="separate"/>
            </w:r>
            <w:r w:rsidR="00334FA0">
              <w:rPr>
                <w:noProof/>
                <w:webHidden/>
              </w:rPr>
              <w:t>16</w:t>
            </w:r>
            <w:r w:rsidR="00334FA0">
              <w:rPr>
                <w:noProof/>
                <w:webHidden/>
              </w:rPr>
              <w:fldChar w:fldCharType="end"/>
            </w:r>
          </w:hyperlink>
        </w:p>
        <w:p w14:paraId="14034BE7" w14:textId="1BE0FCD1" w:rsidR="00334FA0" w:rsidRDefault="00B56B38">
          <w:pPr>
            <w:pStyle w:val="TOC3"/>
            <w:tabs>
              <w:tab w:val="left" w:pos="1320"/>
              <w:tab w:val="right" w:leader="dot" w:pos="9345"/>
            </w:tabs>
            <w:rPr>
              <w:rFonts w:asciiTheme="minorHAnsi" w:eastAsiaTheme="minorEastAsia" w:hAnsiTheme="minorHAnsi"/>
              <w:noProof/>
              <w:lang w:eastAsia="en-NZ"/>
            </w:rPr>
          </w:pPr>
          <w:hyperlink w:anchor="_Toc70694892" w:history="1">
            <w:r w:rsidR="00334FA0">
              <w:rPr>
                <w:rStyle w:val="Hyperlink"/>
                <w:noProof/>
              </w:rPr>
              <w:t>4</w:t>
            </w:r>
            <w:r w:rsidR="00334FA0" w:rsidRPr="00091051">
              <w:rPr>
                <w:rStyle w:val="Hyperlink"/>
                <w:noProof/>
              </w:rPr>
              <w:t>.3.2</w:t>
            </w:r>
            <w:r w:rsidR="00334FA0">
              <w:rPr>
                <w:rFonts w:asciiTheme="minorHAnsi" w:eastAsiaTheme="minorEastAsia" w:hAnsiTheme="minorHAnsi"/>
                <w:noProof/>
                <w:lang w:eastAsia="en-NZ"/>
              </w:rPr>
              <w:tab/>
            </w:r>
            <w:r w:rsidR="00334FA0" w:rsidRPr="00091051">
              <w:rPr>
                <w:rStyle w:val="Hyperlink"/>
                <w:noProof/>
              </w:rPr>
              <w:t>Waipa District</w:t>
            </w:r>
            <w:r w:rsidR="00334FA0">
              <w:rPr>
                <w:noProof/>
                <w:webHidden/>
              </w:rPr>
              <w:tab/>
            </w:r>
            <w:r w:rsidR="00334FA0">
              <w:rPr>
                <w:noProof/>
                <w:webHidden/>
              </w:rPr>
              <w:fldChar w:fldCharType="begin"/>
            </w:r>
            <w:r w:rsidR="00334FA0">
              <w:rPr>
                <w:noProof/>
                <w:webHidden/>
              </w:rPr>
              <w:instrText xml:space="preserve"> PAGEREF _Toc70694892 \h </w:instrText>
            </w:r>
            <w:r w:rsidR="00334FA0">
              <w:rPr>
                <w:noProof/>
                <w:webHidden/>
              </w:rPr>
            </w:r>
            <w:r w:rsidR="00334FA0">
              <w:rPr>
                <w:noProof/>
                <w:webHidden/>
              </w:rPr>
              <w:fldChar w:fldCharType="separate"/>
            </w:r>
            <w:r w:rsidR="00334FA0">
              <w:rPr>
                <w:noProof/>
                <w:webHidden/>
              </w:rPr>
              <w:t>18</w:t>
            </w:r>
            <w:r w:rsidR="00334FA0">
              <w:rPr>
                <w:noProof/>
                <w:webHidden/>
              </w:rPr>
              <w:fldChar w:fldCharType="end"/>
            </w:r>
          </w:hyperlink>
        </w:p>
        <w:p w14:paraId="5D8394D0" w14:textId="06A935A7" w:rsidR="00334FA0" w:rsidRDefault="00B56B38">
          <w:pPr>
            <w:pStyle w:val="TOC3"/>
            <w:tabs>
              <w:tab w:val="left" w:pos="1320"/>
              <w:tab w:val="right" w:leader="dot" w:pos="9345"/>
            </w:tabs>
            <w:rPr>
              <w:rFonts w:asciiTheme="minorHAnsi" w:eastAsiaTheme="minorEastAsia" w:hAnsiTheme="minorHAnsi"/>
              <w:noProof/>
              <w:lang w:eastAsia="en-NZ"/>
            </w:rPr>
          </w:pPr>
          <w:hyperlink w:anchor="_Toc70694893" w:history="1">
            <w:r w:rsidR="00334FA0">
              <w:rPr>
                <w:rStyle w:val="Hyperlink"/>
                <w:noProof/>
              </w:rPr>
              <w:t>4</w:t>
            </w:r>
            <w:r w:rsidR="00334FA0" w:rsidRPr="00091051">
              <w:rPr>
                <w:rStyle w:val="Hyperlink"/>
                <w:noProof/>
              </w:rPr>
              <w:t>.3.3</w:t>
            </w:r>
            <w:r w:rsidR="00334FA0">
              <w:rPr>
                <w:rFonts w:asciiTheme="minorHAnsi" w:eastAsiaTheme="minorEastAsia" w:hAnsiTheme="minorHAnsi"/>
                <w:noProof/>
                <w:lang w:eastAsia="en-NZ"/>
              </w:rPr>
              <w:tab/>
            </w:r>
            <w:r w:rsidR="00334FA0" w:rsidRPr="00091051">
              <w:rPr>
                <w:rStyle w:val="Hyperlink"/>
                <w:noProof/>
              </w:rPr>
              <w:t>Waikato District</w:t>
            </w:r>
            <w:r w:rsidR="00334FA0">
              <w:rPr>
                <w:noProof/>
                <w:webHidden/>
              </w:rPr>
              <w:tab/>
            </w:r>
            <w:r w:rsidR="00334FA0">
              <w:rPr>
                <w:noProof/>
                <w:webHidden/>
              </w:rPr>
              <w:fldChar w:fldCharType="begin"/>
            </w:r>
            <w:r w:rsidR="00334FA0">
              <w:rPr>
                <w:noProof/>
                <w:webHidden/>
              </w:rPr>
              <w:instrText xml:space="preserve"> PAGEREF _Toc70694893 \h </w:instrText>
            </w:r>
            <w:r w:rsidR="00334FA0">
              <w:rPr>
                <w:noProof/>
                <w:webHidden/>
              </w:rPr>
            </w:r>
            <w:r w:rsidR="00334FA0">
              <w:rPr>
                <w:noProof/>
                <w:webHidden/>
              </w:rPr>
              <w:fldChar w:fldCharType="separate"/>
            </w:r>
            <w:r w:rsidR="00334FA0">
              <w:rPr>
                <w:noProof/>
                <w:webHidden/>
              </w:rPr>
              <w:t>21</w:t>
            </w:r>
            <w:r w:rsidR="00334FA0">
              <w:rPr>
                <w:noProof/>
                <w:webHidden/>
              </w:rPr>
              <w:fldChar w:fldCharType="end"/>
            </w:r>
          </w:hyperlink>
        </w:p>
        <w:p w14:paraId="1BF0DCBC" w14:textId="418FC0EF" w:rsidR="00334FA0" w:rsidRDefault="00B56B38">
          <w:pPr>
            <w:pStyle w:val="TOC3"/>
            <w:tabs>
              <w:tab w:val="left" w:pos="1320"/>
              <w:tab w:val="right" w:leader="dot" w:pos="9345"/>
            </w:tabs>
            <w:rPr>
              <w:rFonts w:asciiTheme="minorHAnsi" w:eastAsiaTheme="minorEastAsia" w:hAnsiTheme="minorHAnsi"/>
              <w:noProof/>
              <w:lang w:eastAsia="en-NZ"/>
            </w:rPr>
          </w:pPr>
          <w:hyperlink w:anchor="_Toc70694894" w:history="1">
            <w:r w:rsidR="00334FA0">
              <w:rPr>
                <w:rStyle w:val="Hyperlink"/>
                <w:noProof/>
              </w:rPr>
              <w:t>4</w:t>
            </w:r>
            <w:r w:rsidR="00334FA0" w:rsidRPr="00091051">
              <w:rPr>
                <w:rStyle w:val="Hyperlink"/>
                <w:noProof/>
              </w:rPr>
              <w:t>.3.4</w:t>
            </w:r>
            <w:r w:rsidR="00334FA0">
              <w:rPr>
                <w:rFonts w:asciiTheme="minorHAnsi" w:eastAsiaTheme="minorEastAsia" w:hAnsiTheme="minorHAnsi"/>
                <w:noProof/>
                <w:lang w:eastAsia="en-NZ"/>
              </w:rPr>
              <w:tab/>
            </w:r>
            <w:r w:rsidR="00334FA0" w:rsidRPr="00091051">
              <w:rPr>
                <w:rStyle w:val="Hyperlink"/>
                <w:noProof/>
              </w:rPr>
              <w:t>Taupō District</w:t>
            </w:r>
            <w:r w:rsidR="00334FA0">
              <w:rPr>
                <w:noProof/>
                <w:webHidden/>
              </w:rPr>
              <w:tab/>
            </w:r>
            <w:r w:rsidR="00334FA0">
              <w:rPr>
                <w:noProof/>
                <w:webHidden/>
              </w:rPr>
              <w:fldChar w:fldCharType="begin"/>
            </w:r>
            <w:r w:rsidR="00334FA0">
              <w:rPr>
                <w:noProof/>
                <w:webHidden/>
              </w:rPr>
              <w:instrText xml:space="preserve"> PAGEREF _Toc70694894 \h </w:instrText>
            </w:r>
            <w:r w:rsidR="00334FA0">
              <w:rPr>
                <w:noProof/>
                <w:webHidden/>
              </w:rPr>
            </w:r>
            <w:r w:rsidR="00334FA0">
              <w:rPr>
                <w:noProof/>
                <w:webHidden/>
              </w:rPr>
              <w:fldChar w:fldCharType="separate"/>
            </w:r>
            <w:r w:rsidR="00334FA0">
              <w:rPr>
                <w:noProof/>
                <w:webHidden/>
              </w:rPr>
              <w:t>24</w:t>
            </w:r>
            <w:r w:rsidR="00334FA0">
              <w:rPr>
                <w:noProof/>
                <w:webHidden/>
              </w:rPr>
              <w:fldChar w:fldCharType="end"/>
            </w:r>
          </w:hyperlink>
        </w:p>
        <w:p w14:paraId="0250E4BA" w14:textId="114E9AAE" w:rsidR="00334FA0" w:rsidRDefault="00B56B38">
          <w:pPr>
            <w:pStyle w:val="TOC3"/>
            <w:tabs>
              <w:tab w:val="left" w:pos="1320"/>
              <w:tab w:val="right" w:leader="dot" w:pos="9345"/>
            </w:tabs>
            <w:rPr>
              <w:rFonts w:asciiTheme="minorHAnsi" w:eastAsiaTheme="minorEastAsia" w:hAnsiTheme="minorHAnsi"/>
              <w:noProof/>
              <w:lang w:eastAsia="en-NZ"/>
            </w:rPr>
          </w:pPr>
          <w:hyperlink w:anchor="_Toc70694895" w:history="1">
            <w:r w:rsidR="00334FA0">
              <w:rPr>
                <w:rStyle w:val="Hyperlink"/>
                <w:noProof/>
              </w:rPr>
              <w:t>4</w:t>
            </w:r>
            <w:r w:rsidR="00334FA0" w:rsidRPr="00091051">
              <w:rPr>
                <w:rStyle w:val="Hyperlink"/>
                <w:noProof/>
              </w:rPr>
              <w:t>.3.5</w:t>
            </w:r>
            <w:r w:rsidR="00334FA0">
              <w:rPr>
                <w:rFonts w:asciiTheme="minorHAnsi" w:eastAsiaTheme="minorEastAsia" w:hAnsiTheme="minorHAnsi"/>
                <w:noProof/>
                <w:lang w:eastAsia="en-NZ"/>
              </w:rPr>
              <w:tab/>
            </w:r>
            <w:r w:rsidR="00334FA0" w:rsidRPr="00091051">
              <w:rPr>
                <w:rStyle w:val="Hyperlink"/>
                <w:noProof/>
              </w:rPr>
              <w:t>Matamata-Piako District</w:t>
            </w:r>
            <w:r w:rsidR="00334FA0">
              <w:rPr>
                <w:noProof/>
                <w:webHidden/>
              </w:rPr>
              <w:tab/>
            </w:r>
            <w:r w:rsidR="00334FA0">
              <w:rPr>
                <w:noProof/>
                <w:webHidden/>
              </w:rPr>
              <w:fldChar w:fldCharType="begin"/>
            </w:r>
            <w:r w:rsidR="00334FA0">
              <w:rPr>
                <w:noProof/>
                <w:webHidden/>
              </w:rPr>
              <w:instrText xml:space="preserve"> PAGEREF _Toc70694895 \h </w:instrText>
            </w:r>
            <w:r w:rsidR="00334FA0">
              <w:rPr>
                <w:noProof/>
                <w:webHidden/>
              </w:rPr>
            </w:r>
            <w:r w:rsidR="00334FA0">
              <w:rPr>
                <w:noProof/>
                <w:webHidden/>
              </w:rPr>
              <w:fldChar w:fldCharType="separate"/>
            </w:r>
            <w:r w:rsidR="00334FA0">
              <w:rPr>
                <w:noProof/>
                <w:webHidden/>
              </w:rPr>
              <w:t>27</w:t>
            </w:r>
            <w:r w:rsidR="00334FA0">
              <w:rPr>
                <w:noProof/>
                <w:webHidden/>
              </w:rPr>
              <w:fldChar w:fldCharType="end"/>
            </w:r>
          </w:hyperlink>
        </w:p>
        <w:p w14:paraId="74637188" w14:textId="40688E52" w:rsidR="00334FA0" w:rsidRDefault="00B56B38">
          <w:pPr>
            <w:pStyle w:val="TOC3"/>
            <w:tabs>
              <w:tab w:val="left" w:pos="1320"/>
              <w:tab w:val="right" w:leader="dot" w:pos="9345"/>
            </w:tabs>
            <w:rPr>
              <w:rFonts w:asciiTheme="minorHAnsi" w:eastAsiaTheme="minorEastAsia" w:hAnsiTheme="minorHAnsi"/>
              <w:noProof/>
              <w:lang w:eastAsia="en-NZ"/>
            </w:rPr>
          </w:pPr>
          <w:hyperlink w:anchor="_Toc70694896" w:history="1">
            <w:r w:rsidR="00334FA0">
              <w:rPr>
                <w:rStyle w:val="Hyperlink"/>
                <w:noProof/>
              </w:rPr>
              <w:t>4</w:t>
            </w:r>
            <w:r w:rsidR="00334FA0" w:rsidRPr="00091051">
              <w:rPr>
                <w:rStyle w:val="Hyperlink"/>
                <w:noProof/>
              </w:rPr>
              <w:t>.3.6</w:t>
            </w:r>
            <w:r w:rsidR="00334FA0">
              <w:rPr>
                <w:rFonts w:asciiTheme="minorHAnsi" w:eastAsiaTheme="minorEastAsia" w:hAnsiTheme="minorHAnsi"/>
                <w:noProof/>
                <w:lang w:eastAsia="en-NZ"/>
              </w:rPr>
              <w:tab/>
            </w:r>
            <w:r w:rsidR="00334FA0" w:rsidRPr="00091051">
              <w:rPr>
                <w:rStyle w:val="Hyperlink"/>
                <w:noProof/>
              </w:rPr>
              <w:t>Thames-Coromandel District</w:t>
            </w:r>
            <w:r w:rsidR="00334FA0">
              <w:rPr>
                <w:noProof/>
                <w:webHidden/>
              </w:rPr>
              <w:tab/>
            </w:r>
            <w:r w:rsidR="00334FA0">
              <w:rPr>
                <w:noProof/>
                <w:webHidden/>
              </w:rPr>
              <w:fldChar w:fldCharType="begin"/>
            </w:r>
            <w:r w:rsidR="00334FA0">
              <w:rPr>
                <w:noProof/>
                <w:webHidden/>
              </w:rPr>
              <w:instrText xml:space="preserve"> PAGEREF _Toc70694896 \h </w:instrText>
            </w:r>
            <w:r w:rsidR="00334FA0">
              <w:rPr>
                <w:noProof/>
                <w:webHidden/>
              </w:rPr>
            </w:r>
            <w:r w:rsidR="00334FA0">
              <w:rPr>
                <w:noProof/>
                <w:webHidden/>
              </w:rPr>
              <w:fldChar w:fldCharType="separate"/>
            </w:r>
            <w:r w:rsidR="00334FA0">
              <w:rPr>
                <w:noProof/>
                <w:webHidden/>
              </w:rPr>
              <w:t>29</w:t>
            </w:r>
            <w:r w:rsidR="00334FA0">
              <w:rPr>
                <w:noProof/>
                <w:webHidden/>
              </w:rPr>
              <w:fldChar w:fldCharType="end"/>
            </w:r>
          </w:hyperlink>
        </w:p>
        <w:p w14:paraId="260776EE" w14:textId="654071D2" w:rsidR="00334FA0" w:rsidRDefault="00B56B38">
          <w:pPr>
            <w:pStyle w:val="TOC3"/>
            <w:tabs>
              <w:tab w:val="left" w:pos="1320"/>
              <w:tab w:val="right" w:leader="dot" w:pos="9345"/>
            </w:tabs>
            <w:rPr>
              <w:rFonts w:asciiTheme="minorHAnsi" w:eastAsiaTheme="minorEastAsia" w:hAnsiTheme="minorHAnsi"/>
              <w:noProof/>
              <w:lang w:eastAsia="en-NZ"/>
            </w:rPr>
          </w:pPr>
          <w:hyperlink w:anchor="_Toc70694897" w:history="1">
            <w:r w:rsidR="00334FA0">
              <w:rPr>
                <w:rStyle w:val="Hyperlink"/>
                <w:noProof/>
              </w:rPr>
              <w:t>4</w:t>
            </w:r>
            <w:r w:rsidR="00334FA0" w:rsidRPr="00091051">
              <w:rPr>
                <w:rStyle w:val="Hyperlink"/>
                <w:noProof/>
              </w:rPr>
              <w:t>.3.7</w:t>
            </w:r>
            <w:r w:rsidR="00334FA0">
              <w:rPr>
                <w:rFonts w:asciiTheme="minorHAnsi" w:eastAsiaTheme="minorEastAsia" w:hAnsiTheme="minorHAnsi"/>
                <w:noProof/>
                <w:lang w:eastAsia="en-NZ"/>
              </w:rPr>
              <w:tab/>
            </w:r>
            <w:r w:rsidR="00334FA0" w:rsidRPr="00091051">
              <w:rPr>
                <w:rStyle w:val="Hyperlink"/>
                <w:noProof/>
              </w:rPr>
              <w:t>South Waikato District</w:t>
            </w:r>
            <w:r w:rsidR="00334FA0">
              <w:rPr>
                <w:noProof/>
                <w:webHidden/>
              </w:rPr>
              <w:tab/>
            </w:r>
            <w:r w:rsidR="00334FA0">
              <w:rPr>
                <w:noProof/>
                <w:webHidden/>
              </w:rPr>
              <w:fldChar w:fldCharType="begin"/>
            </w:r>
            <w:r w:rsidR="00334FA0">
              <w:rPr>
                <w:noProof/>
                <w:webHidden/>
              </w:rPr>
              <w:instrText xml:space="preserve"> PAGEREF _Toc70694897 \h </w:instrText>
            </w:r>
            <w:r w:rsidR="00334FA0">
              <w:rPr>
                <w:noProof/>
                <w:webHidden/>
              </w:rPr>
            </w:r>
            <w:r w:rsidR="00334FA0">
              <w:rPr>
                <w:noProof/>
                <w:webHidden/>
              </w:rPr>
              <w:fldChar w:fldCharType="separate"/>
            </w:r>
            <w:r w:rsidR="00334FA0">
              <w:rPr>
                <w:noProof/>
                <w:webHidden/>
              </w:rPr>
              <w:t>31</w:t>
            </w:r>
            <w:r w:rsidR="00334FA0">
              <w:rPr>
                <w:noProof/>
                <w:webHidden/>
              </w:rPr>
              <w:fldChar w:fldCharType="end"/>
            </w:r>
          </w:hyperlink>
        </w:p>
        <w:p w14:paraId="076A5112" w14:textId="71E15533" w:rsidR="00334FA0" w:rsidRDefault="00B56B38">
          <w:pPr>
            <w:pStyle w:val="TOC3"/>
            <w:tabs>
              <w:tab w:val="left" w:pos="1320"/>
              <w:tab w:val="right" w:leader="dot" w:pos="9345"/>
            </w:tabs>
            <w:rPr>
              <w:rFonts w:asciiTheme="minorHAnsi" w:eastAsiaTheme="minorEastAsia" w:hAnsiTheme="minorHAnsi"/>
              <w:noProof/>
              <w:lang w:eastAsia="en-NZ"/>
            </w:rPr>
          </w:pPr>
          <w:hyperlink w:anchor="_Toc70694898" w:history="1">
            <w:r w:rsidR="00334FA0">
              <w:rPr>
                <w:rStyle w:val="Hyperlink"/>
                <w:noProof/>
              </w:rPr>
              <w:t>4</w:t>
            </w:r>
            <w:r w:rsidR="00334FA0" w:rsidRPr="00091051">
              <w:rPr>
                <w:rStyle w:val="Hyperlink"/>
                <w:noProof/>
              </w:rPr>
              <w:t>.3.8</w:t>
            </w:r>
            <w:r w:rsidR="00334FA0">
              <w:rPr>
                <w:rFonts w:asciiTheme="minorHAnsi" w:eastAsiaTheme="minorEastAsia" w:hAnsiTheme="minorHAnsi"/>
                <w:noProof/>
                <w:lang w:eastAsia="en-NZ"/>
              </w:rPr>
              <w:tab/>
            </w:r>
            <w:r w:rsidR="00334FA0" w:rsidRPr="00091051">
              <w:rPr>
                <w:rStyle w:val="Hyperlink"/>
                <w:noProof/>
              </w:rPr>
              <w:t>Hauraki District</w:t>
            </w:r>
            <w:r w:rsidR="00334FA0">
              <w:rPr>
                <w:noProof/>
                <w:webHidden/>
              </w:rPr>
              <w:tab/>
            </w:r>
            <w:r w:rsidR="00334FA0">
              <w:rPr>
                <w:noProof/>
                <w:webHidden/>
              </w:rPr>
              <w:fldChar w:fldCharType="begin"/>
            </w:r>
            <w:r w:rsidR="00334FA0">
              <w:rPr>
                <w:noProof/>
                <w:webHidden/>
              </w:rPr>
              <w:instrText xml:space="preserve"> PAGEREF _Toc70694898 \h </w:instrText>
            </w:r>
            <w:r w:rsidR="00334FA0">
              <w:rPr>
                <w:noProof/>
                <w:webHidden/>
              </w:rPr>
            </w:r>
            <w:r w:rsidR="00334FA0">
              <w:rPr>
                <w:noProof/>
                <w:webHidden/>
              </w:rPr>
              <w:fldChar w:fldCharType="separate"/>
            </w:r>
            <w:r w:rsidR="00334FA0">
              <w:rPr>
                <w:noProof/>
                <w:webHidden/>
              </w:rPr>
              <w:t>33</w:t>
            </w:r>
            <w:r w:rsidR="00334FA0">
              <w:rPr>
                <w:noProof/>
                <w:webHidden/>
              </w:rPr>
              <w:fldChar w:fldCharType="end"/>
            </w:r>
          </w:hyperlink>
        </w:p>
        <w:p w14:paraId="14B4D364" w14:textId="2FBC0A91" w:rsidR="00334FA0" w:rsidRDefault="00B56B38">
          <w:pPr>
            <w:pStyle w:val="TOC3"/>
            <w:tabs>
              <w:tab w:val="left" w:pos="1320"/>
              <w:tab w:val="right" w:leader="dot" w:pos="9345"/>
            </w:tabs>
            <w:rPr>
              <w:rFonts w:asciiTheme="minorHAnsi" w:eastAsiaTheme="minorEastAsia" w:hAnsiTheme="minorHAnsi"/>
              <w:noProof/>
              <w:lang w:eastAsia="en-NZ"/>
            </w:rPr>
          </w:pPr>
          <w:hyperlink w:anchor="_Toc70694899" w:history="1">
            <w:r w:rsidR="00334FA0">
              <w:rPr>
                <w:rStyle w:val="Hyperlink"/>
                <w:noProof/>
              </w:rPr>
              <w:t>4</w:t>
            </w:r>
            <w:r w:rsidR="00334FA0" w:rsidRPr="00091051">
              <w:rPr>
                <w:rStyle w:val="Hyperlink"/>
                <w:noProof/>
              </w:rPr>
              <w:t>.3.9</w:t>
            </w:r>
            <w:r w:rsidR="00334FA0">
              <w:rPr>
                <w:rFonts w:asciiTheme="minorHAnsi" w:eastAsiaTheme="minorEastAsia" w:hAnsiTheme="minorHAnsi"/>
                <w:noProof/>
                <w:lang w:eastAsia="en-NZ"/>
              </w:rPr>
              <w:tab/>
            </w:r>
            <w:r w:rsidR="00334FA0" w:rsidRPr="00091051">
              <w:rPr>
                <w:rStyle w:val="Hyperlink"/>
                <w:noProof/>
              </w:rPr>
              <w:t>Waitomo District</w:t>
            </w:r>
            <w:r w:rsidR="00334FA0">
              <w:rPr>
                <w:noProof/>
                <w:webHidden/>
              </w:rPr>
              <w:tab/>
            </w:r>
            <w:r w:rsidR="00334FA0">
              <w:rPr>
                <w:noProof/>
                <w:webHidden/>
              </w:rPr>
              <w:fldChar w:fldCharType="begin"/>
            </w:r>
            <w:r w:rsidR="00334FA0">
              <w:rPr>
                <w:noProof/>
                <w:webHidden/>
              </w:rPr>
              <w:instrText xml:space="preserve"> PAGEREF _Toc70694899 \h </w:instrText>
            </w:r>
            <w:r w:rsidR="00334FA0">
              <w:rPr>
                <w:noProof/>
                <w:webHidden/>
              </w:rPr>
            </w:r>
            <w:r w:rsidR="00334FA0">
              <w:rPr>
                <w:noProof/>
                <w:webHidden/>
              </w:rPr>
              <w:fldChar w:fldCharType="separate"/>
            </w:r>
            <w:r w:rsidR="00334FA0">
              <w:rPr>
                <w:noProof/>
                <w:webHidden/>
              </w:rPr>
              <w:t>35</w:t>
            </w:r>
            <w:r w:rsidR="00334FA0">
              <w:rPr>
                <w:noProof/>
                <w:webHidden/>
              </w:rPr>
              <w:fldChar w:fldCharType="end"/>
            </w:r>
          </w:hyperlink>
        </w:p>
        <w:p w14:paraId="781E717A" w14:textId="58C024E3" w:rsidR="00334FA0" w:rsidRDefault="00B56B38">
          <w:pPr>
            <w:pStyle w:val="TOC3"/>
            <w:tabs>
              <w:tab w:val="left" w:pos="1320"/>
              <w:tab w:val="right" w:leader="dot" w:pos="9345"/>
            </w:tabs>
            <w:rPr>
              <w:rFonts w:asciiTheme="minorHAnsi" w:eastAsiaTheme="minorEastAsia" w:hAnsiTheme="minorHAnsi"/>
              <w:noProof/>
              <w:lang w:eastAsia="en-NZ"/>
            </w:rPr>
          </w:pPr>
          <w:hyperlink w:anchor="_Toc70694900" w:history="1">
            <w:r w:rsidR="00334FA0">
              <w:rPr>
                <w:rStyle w:val="Hyperlink"/>
                <w:noProof/>
              </w:rPr>
              <w:t>4</w:t>
            </w:r>
            <w:r w:rsidR="00334FA0" w:rsidRPr="00091051">
              <w:rPr>
                <w:rStyle w:val="Hyperlink"/>
                <w:noProof/>
              </w:rPr>
              <w:t>.3.10</w:t>
            </w:r>
            <w:r w:rsidR="00334FA0">
              <w:rPr>
                <w:rFonts w:asciiTheme="minorHAnsi" w:eastAsiaTheme="minorEastAsia" w:hAnsiTheme="minorHAnsi"/>
                <w:noProof/>
                <w:lang w:eastAsia="en-NZ"/>
              </w:rPr>
              <w:tab/>
            </w:r>
            <w:r w:rsidR="00334FA0" w:rsidRPr="00091051">
              <w:rPr>
                <w:rStyle w:val="Hyperlink"/>
                <w:noProof/>
              </w:rPr>
              <w:t>Ōtorohanga District</w:t>
            </w:r>
            <w:r w:rsidR="00334FA0">
              <w:rPr>
                <w:noProof/>
                <w:webHidden/>
              </w:rPr>
              <w:tab/>
            </w:r>
            <w:r w:rsidR="00334FA0">
              <w:rPr>
                <w:noProof/>
                <w:webHidden/>
              </w:rPr>
              <w:fldChar w:fldCharType="begin"/>
            </w:r>
            <w:r w:rsidR="00334FA0">
              <w:rPr>
                <w:noProof/>
                <w:webHidden/>
              </w:rPr>
              <w:instrText xml:space="preserve"> PAGEREF _Toc70694900 \h </w:instrText>
            </w:r>
            <w:r w:rsidR="00334FA0">
              <w:rPr>
                <w:noProof/>
                <w:webHidden/>
              </w:rPr>
            </w:r>
            <w:r w:rsidR="00334FA0">
              <w:rPr>
                <w:noProof/>
                <w:webHidden/>
              </w:rPr>
              <w:fldChar w:fldCharType="separate"/>
            </w:r>
            <w:r w:rsidR="00334FA0">
              <w:rPr>
                <w:noProof/>
                <w:webHidden/>
              </w:rPr>
              <w:t>38</w:t>
            </w:r>
            <w:r w:rsidR="00334FA0">
              <w:rPr>
                <w:noProof/>
                <w:webHidden/>
              </w:rPr>
              <w:fldChar w:fldCharType="end"/>
            </w:r>
          </w:hyperlink>
        </w:p>
        <w:p w14:paraId="42F44078" w14:textId="58E1C535" w:rsidR="00334FA0" w:rsidRDefault="00B56B38">
          <w:pPr>
            <w:pStyle w:val="TOC2"/>
            <w:rPr>
              <w:rFonts w:eastAsiaTheme="minorEastAsia" w:cstheme="minorBidi"/>
              <w:smallCaps w:val="0"/>
              <w:sz w:val="22"/>
              <w:szCs w:val="22"/>
              <w:lang w:eastAsia="en-NZ"/>
            </w:rPr>
          </w:pPr>
          <w:hyperlink w:anchor="_Toc70694901" w:history="1">
            <w:r w:rsidR="00334FA0">
              <w:rPr>
                <w:rStyle w:val="Hyperlink"/>
              </w:rPr>
              <w:t>4</w:t>
            </w:r>
            <w:r w:rsidR="00334FA0" w:rsidRPr="00091051">
              <w:rPr>
                <w:rStyle w:val="Hyperlink"/>
              </w:rPr>
              <w:t>.4</w:t>
            </w:r>
            <w:r w:rsidR="00334FA0">
              <w:rPr>
                <w:rFonts w:eastAsiaTheme="minorEastAsia" w:cstheme="minorBidi"/>
                <w:smallCaps w:val="0"/>
                <w:sz w:val="22"/>
                <w:szCs w:val="22"/>
                <w:lang w:eastAsia="en-NZ"/>
              </w:rPr>
              <w:tab/>
            </w:r>
            <w:r w:rsidR="00334FA0" w:rsidRPr="00091051">
              <w:rPr>
                <w:rStyle w:val="Hyperlink"/>
              </w:rPr>
              <w:t>Projections within each Statistical Area 2</w:t>
            </w:r>
            <w:r w:rsidR="00334FA0">
              <w:rPr>
                <w:webHidden/>
              </w:rPr>
              <w:tab/>
            </w:r>
            <w:r w:rsidR="00334FA0">
              <w:rPr>
                <w:webHidden/>
              </w:rPr>
              <w:fldChar w:fldCharType="begin"/>
            </w:r>
            <w:r w:rsidR="00334FA0">
              <w:rPr>
                <w:webHidden/>
              </w:rPr>
              <w:instrText xml:space="preserve"> PAGEREF _Toc70694901 \h </w:instrText>
            </w:r>
            <w:r w:rsidR="00334FA0">
              <w:rPr>
                <w:webHidden/>
              </w:rPr>
            </w:r>
            <w:r w:rsidR="00334FA0">
              <w:rPr>
                <w:webHidden/>
              </w:rPr>
              <w:fldChar w:fldCharType="separate"/>
            </w:r>
            <w:r w:rsidR="00334FA0">
              <w:rPr>
                <w:webHidden/>
              </w:rPr>
              <w:t>41</w:t>
            </w:r>
            <w:r w:rsidR="00334FA0">
              <w:rPr>
                <w:webHidden/>
              </w:rPr>
              <w:fldChar w:fldCharType="end"/>
            </w:r>
          </w:hyperlink>
        </w:p>
        <w:p w14:paraId="2F5A0BD8" w14:textId="7ED5E3F3" w:rsidR="00334FA0" w:rsidRDefault="00B56B38">
          <w:pPr>
            <w:pStyle w:val="TOC1"/>
            <w:rPr>
              <w:rFonts w:asciiTheme="minorHAnsi" w:eastAsiaTheme="minorEastAsia" w:hAnsiTheme="minorHAnsi" w:cstheme="minorBidi"/>
              <w:b w:val="0"/>
              <w:bCs w:val="0"/>
              <w:caps w:val="0"/>
              <w:sz w:val="22"/>
              <w:szCs w:val="22"/>
              <w:lang w:eastAsia="en-NZ"/>
            </w:rPr>
          </w:pPr>
          <w:hyperlink w:anchor="_Toc70694902" w:history="1">
            <w:r w:rsidR="00334FA0">
              <w:rPr>
                <w:rStyle w:val="Hyperlink"/>
              </w:rPr>
              <w:t>5</w:t>
            </w:r>
            <w:r w:rsidR="00334FA0">
              <w:rPr>
                <w:rFonts w:asciiTheme="minorHAnsi" w:eastAsiaTheme="minorEastAsia" w:hAnsiTheme="minorHAnsi" w:cstheme="minorBidi"/>
                <w:b w:val="0"/>
                <w:bCs w:val="0"/>
                <w:caps w:val="0"/>
                <w:sz w:val="22"/>
                <w:szCs w:val="22"/>
                <w:lang w:eastAsia="en-NZ"/>
              </w:rPr>
              <w:tab/>
            </w:r>
            <w:r w:rsidR="00334FA0" w:rsidRPr="00091051">
              <w:rPr>
                <w:rStyle w:val="Hyperlink"/>
              </w:rPr>
              <w:t>Conclusion</w:t>
            </w:r>
            <w:r w:rsidR="00334FA0">
              <w:rPr>
                <w:webHidden/>
              </w:rPr>
              <w:tab/>
            </w:r>
            <w:r w:rsidR="00334FA0">
              <w:rPr>
                <w:webHidden/>
              </w:rPr>
              <w:fldChar w:fldCharType="begin"/>
            </w:r>
            <w:r w:rsidR="00334FA0">
              <w:rPr>
                <w:webHidden/>
              </w:rPr>
              <w:instrText xml:space="preserve"> PAGEREF _Toc70694902 \h </w:instrText>
            </w:r>
            <w:r w:rsidR="00334FA0">
              <w:rPr>
                <w:webHidden/>
              </w:rPr>
            </w:r>
            <w:r w:rsidR="00334FA0">
              <w:rPr>
                <w:webHidden/>
              </w:rPr>
              <w:fldChar w:fldCharType="separate"/>
            </w:r>
            <w:r w:rsidR="00334FA0">
              <w:rPr>
                <w:webHidden/>
              </w:rPr>
              <w:t>43</w:t>
            </w:r>
            <w:r w:rsidR="00334FA0">
              <w:rPr>
                <w:webHidden/>
              </w:rPr>
              <w:fldChar w:fldCharType="end"/>
            </w:r>
          </w:hyperlink>
        </w:p>
        <w:p w14:paraId="70A98BA9" w14:textId="1A3AAA47" w:rsidR="00334FA0" w:rsidRDefault="00334FA0">
          <w:r>
            <w:rPr>
              <w:b/>
              <w:bCs/>
              <w:noProof/>
            </w:rPr>
            <w:fldChar w:fldCharType="end"/>
          </w:r>
        </w:p>
      </w:sdtContent>
    </w:sdt>
    <w:p w14:paraId="3A8E0D4A" w14:textId="77777777" w:rsidR="00334FA0" w:rsidRDefault="00334FA0" w:rsidP="004F239D">
      <w:pPr>
        <w:pStyle w:val="TOC1"/>
      </w:pPr>
    </w:p>
    <w:p w14:paraId="49929296" w14:textId="76A0B243" w:rsidR="004A74A2" w:rsidRPr="004A74A2" w:rsidRDefault="004A74A2" w:rsidP="004A74A2">
      <w:pPr>
        <w:pStyle w:val="TOC2"/>
        <w:rPr>
          <w:rFonts w:eastAsiaTheme="minorEastAsia" w:cstheme="minorBidi"/>
          <w:smallCaps w:val="0"/>
          <w:sz w:val="22"/>
          <w:szCs w:val="22"/>
          <w:lang w:eastAsia="ko-KR"/>
        </w:rPr>
      </w:pPr>
    </w:p>
    <w:p w14:paraId="7ED28601" w14:textId="77777777" w:rsidR="00790B1C" w:rsidRPr="00DE4D82" w:rsidRDefault="00790B1C" w:rsidP="00FF72BF">
      <w:pPr>
        <w:pStyle w:val="Heading1"/>
        <w:sectPr w:rsidR="00790B1C" w:rsidRPr="00DE4D82" w:rsidSect="00FC3542">
          <w:headerReference w:type="default" r:id="rId16"/>
          <w:footerReference w:type="default" r:id="rId17"/>
          <w:pgSz w:w="11907" w:h="16839" w:code="9"/>
          <w:pgMar w:top="1814" w:right="1134" w:bottom="1134" w:left="1418" w:header="720" w:footer="0" w:gutter="0"/>
          <w:pgNumType w:start="1"/>
          <w:cols w:space="720"/>
          <w:docGrid w:linePitch="360"/>
        </w:sectPr>
      </w:pPr>
    </w:p>
    <w:p w14:paraId="6A89A762" w14:textId="1CC98250" w:rsidR="004F3D31" w:rsidRDefault="004F3D31" w:rsidP="00FF72BF">
      <w:pPr>
        <w:pStyle w:val="Heading1"/>
      </w:pPr>
      <w:bookmarkStart w:id="0" w:name="_Toc70694879"/>
      <w:r>
        <w:lastRenderedPageBreak/>
        <w:t>Introduction</w:t>
      </w:r>
      <w:bookmarkEnd w:id="0"/>
    </w:p>
    <w:p w14:paraId="1177C648" w14:textId="35A0CB78" w:rsidR="00CF6608" w:rsidRDefault="00820638" w:rsidP="00CF6608">
      <w:pPr>
        <w:spacing w:after="0" w:line="240" w:lineRule="auto"/>
      </w:pPr>
      <w:r>
        <w:t>Employment</w:t>
      </w:r>
      <w:r>
        <w:rPr>
          <w:rStyle w:val="FootnoteReference"/>
        </w:rPr>
        <w:footnoteReference w:id="1"/>
      </w:r>
      <w:r>
        <w:t xml:space="preserve"> and value added</w:t>
      </w:r>
      <w:r>
        <w:rPr>
          <w:rStyle w:val="FootnoteReference"/>
        </w:rPr>
        <w:footnoteReference w:id="2"/>
      </w:r>
      <w:r>
        <w:t xml:space="preserve"> are the key economic indicators </w:t>
      </w:r>
      <w:r w:rsidR="00AC3587">
        <w:t>projected</w:t>
      </w:r>
      <w:r w:rsidR="00CF6608">
        <w:t>.</w:t>
      </w:r>
      <w:r w:rsidR="00CF6608">
        <w:rPr>
          <w:noProof/>
        </w:rPr>
        <w:t xml:space="preserve"> </w:t>
      </w:r>
      <w:r w:rsidR="00AC3587">
        <w:rPr>
          <w:noProof/>
        </w:rPr>
        <w:t>Annual e</w:t>
      </w:r>
      <w:r w:rsidR="00CF6608">
        <w:rPr>
          <w:noProof/>
        </w:rPr>
        <w:t xml:space="preserve">mployment and value added projections </w:t>
      </w:r>
      <w:r w:rsidR="00AC3587">
        <w:rPr>
          <w:noProof/>
        </w:rPr>
        <w:t xml:space="preserve">are developed </w:t>
      </w:r>
      <w:r w:rsidR="00CF6608">
        <w:rPr>
          <w:noProof/>
        </w:rPr>
        <w:t xml:space="preserve">at the </w:t>
      </w:r>
      <w:r w:rsidR="009A09C4">
        <w:rPr>
          <w:noProof/>
        </w:rPr>
        <w:t>Statistical Area 2 (</w:t>
      </w:r>
      <w:r w:rsidR="00CF6608">
        <w:rPr>
          <w:noProof/>
        </w:rPr>
        <w:t>SA2</w:t>
      </w:r>
      <w:r w:rsidR="009A09C4">
        <w:rPr>
          <w:noProof/>
        </w:rPr>
        <w:t>)</w:t>
      </w:r>
      <w:r w:rsidR="00CF6608">
        <w:rPr>
          <w:noProof/>
        </w:rPr>
        <w:t xml:space="preserve"> level from 2018 to 2068.</w:t>
      </w:r>
      <w:r w:rsidR="00CF6608">
        <w:t xml:space="preserve">  The Australian New Zealand Industry Classification (ANZSIC) at the 1-Digit industry level </w:t>
      </w:r>
      <w:r w:rsidR="004B2B61">
        <w:t>is used</w:t>
      </w:r>
      <w:r w:rsidR="00CF6608">
        <w:t xml:space="preserve"> for the industrial classification of the projections. </w:t>
      </w:r>
      <w:r w:rsidR="00F740DE">
        <w:t xml:space="preserve">This level of detail </w:t>
      </w:r>
      <w:r w:rsidR="00F740DE">
        <w:rPr>
          <w:noProof/>
        </w:rPr>
        <w:t xml:space="preserve">equates to a very large database of </w:t>
      </w:r>
      <w:r w:rsidR="00BA2895">
        <w:rPr>
          <w:noProof/>
        </w:rPr>
        <w:t>229,900</w:t>
      </w:r>
      <w:r w:rsidR="007146F8">
        <w:rPr>
          <w:noProof/>
        </w:rPr>
        <w:t xml:space="preserve"> </w:t>
      </w:r>
      <w:r w:rsidR="00F740DE">
        <w:rPr>
          <w:noProof/>
        </w:rPr>
        <w:t>projection datapoints</w:t>
      </w:r>
      <w:r w:rsidR="007146F8">
        <w:rPr>
          <w:noProof/>
        </w:rPr>
        <w:t xml:space="preserve"> each for employment and value added</w:t>
      </w:r>
      <w:r w:rsidR="00F740DE">
        <w:rPr>
          <w:noProof/>
        </w:rPr>
        <w:t>.</w:t>
      </w:r>
      <w:r w:rsidR="00F740DE">
        <w:t xml:space="preserve"> </w:t>
      </w:r>
      <w:r w:rsidR="00CF6608">
        <w:t>Th</w:t>
      </w:r>
      <w:r w:rsidR="00F740DE">
        <w:t xml:space="preserve">is was to allow </w:t>
      </w:r>
      <w:r w:rsidR="00CF6608">
        <w:t>investigation of p</w:t>
      </w:r>
      <w:r w:rsidR="00CF6608" w:rsidRPr="00AA18FC">
        <w:t xml:space="preserve">atterns of industry and spatial change across the whole region, as well as changes in economic structure within </w:t>
      </w:r>
      <w:r w:rsidR="00CF6608">
        <w:t>the</w:t>
      </w:r>
      <w:r w:rsidR="009A09C4">
        <w:t xml:space="preserve"> SA2</w:t>
      </w:r>
      <w:r w:rsidR="00CF6608" w:rsidRPr="00AA18FC">
        <w:t>s themselves.</w:t>
      </w:r>
      <w:r w:rsidR="00CF6608">
        <w:t xml:space="preserve"> </w:t>
      </w:r>
      <w:r w:rsidR="007146F8">
        <w:t xml:space="preserve">Additionally, three sets of projections are produced covering low, </w:t>
      </w:r>
      <w:r w:rsidR="00BA2895">
        <w:t>medium,</w:t>
      </w:r>
      <w:r w:rsidR="007146F8">
        <w:t xml:space="preserve"> and high economic growth futures.</w:t>
      </w:r>
    </w:p>
    <w:p w14:paraId="0569033E" w14:textId="77777777" w:rsidR="00CF6608" w:rsidRDefault="00CF6608" w:rsidP="00587E4A">
      <w:pPr>
        <w:spacing w:after="0" w:line="240" w:lineRule="auto"/>
        <w:rPr>
          <w:noProof/>
        </w:rPr>
      </w:pPr>
    </w:p>
    <w:p w14:paraId="26BAC66D" w14:textId="0C9D95B5" w:rsidR="00820638" w:rsidRDefault="009C4ED4" w:rsidP="00587E4A">
      <w:pPr>
        <w:spacing w:after="0" w:line="240" w:lineRule="auto"/>
        <w:rPr>
          <w:noProof/>
        </w:rPr>
      </w:pPr>
      <w:r>
        <w:rPr>
          <w:noProof/>
        </w:rPr>
        <w:t xml:space="preserve">The projections are computed based on </w:t>
      </w:r>
      <w:r w:rsidR="00BA2895">
        <w:rPr>
          <w:noProof/>
        </w:rPr>
        <w:t>l</w:t>
      </w:r>
      <w:r>
        <w:rPr>
          <w:noProof/>
        </w:rPr>
        <w:t xml:space="preserve">east </w:t>
      </w:r>
      <w:r w:rsidR="00BA2895">
        <w:rPr>
          <w:noProof/>
        </w:rPr>
        <w:t>s</w:t>
      </w:r>
      <w:r>
        <w:rPr>
          <w:noProof/>
        </w:rPr>
        <w:t xml:space="preserve">quares regression. </w:t>
      </w:r>
      <w:r w:rsidR="00F7775D">
        <w:rPr>
          <w:noProof/>
        </w:rPr>
        <w:t>The regression is carried out based on</w:t>
      </w:r>
      <w:r w:rsidR="00820638">
        <w:rPr>
          <w:noProof/>
        </w:rPr>
        <w:t xml:space="preserve"> </w:t>
      </w:r>
      <w:r w:rsidR="00F51F66">
        <w:rPr>
          <w:noProof/>
        </w:rPr>
        <w:t xml:space="preserve">(1) </w:t>
      </w:r>
      <w:r w:rsidR="00820638">
        <w:rPr>
          <w:noProof/>
        </w:rPr>
        <w:t xml:space="preserve">change in </w:t>
      </w:r>
      <w:r w:rsidR="00BA2895">
        <w:rPr>
          <w:noProof/>
        </w:rPr>
        <w:t xml:space="preserve">future </w:t>
      </w:r>
      <w:r w:rsidR="00820638">
        <w:rPr>
          <w:noProof/>
        </w:rPr>
        <w:t>land use patterns as derived from the Waikato Integrated Scenarios Explorer (WISE) Spatial Decisions Support System</w:t>
      </w:r>
      <w:r w:rsidR="0031496F">
        <w:rPr>
          <w:rStyle w:val="FootnoteReference"/>
        </w:rPr>
        <w:footnoteReference w:id="3"/>
      </w:r>
      <w:r w:rsidR="00820638">
        <w:rPr>
          <w:noProof/>
        </w:rPr>
        <w:t xml:space="preserve">, </w:t>
      </w:r>
      <w:r w:rsidR="00F51F66">
        <w:rPr>
          <w:noProof/>
        </w:rPr>
        <w:t xml:space="preserve">(2) </w:t>
      </w:r>
      <w:r w:rsidR="00820638">
        <w:rPr>
          <w:noProof/>
        </w:rPr>
        <w:t>historical employment trends taken from Stat</w:t>
      </w:r>
      <w:r w:rsidR="00981F9D">
        <w:rPr>
          <w:noProof/>
        </w:rPr>
        <w:t>sNZ’s</w:t>
      </w:r>
      <w:r w:rsidR="00820638">
        <w:rPr>
          <w:noProof/>
        </w:rPr>
        <w:t xml:space="preserve"> Buinsess Directory, and</w:t>
      </w:r>
      <w:r w:rsidR="00F51F66">
        <w:rPr>
          <w:noProof/>
        </w:rPr>
        <w:t xml:space="preserve"> (3)</w:t>
      </w:r>
      <w:r w:rsidR="00820638">
        <w:rPr>
          <w:noProof/>
        </w:rPr>
        <w:t xml:space="preserve"> independent population projections produced by </w:t>
      </w:r>
      <w:r w:rsidR="007146F8">
        <w:rPr>
          <w:noProof/>
        </w:rPr>
        <w:t xml:space="preserve">Assoc. Prof. </w:t>
      </w:r>
      <w:r w:rsidR="00820638">
        <w:rPr>
          <w:noProof/>
        </w:rPr>
        <w:t xml:space="preserve">Michael Cameron at the Univesity of Waikato.  </w:t>
      </w:r>
    </w:p>
    <w:p w14:paraId="59040340" w14:textId="77777777" w:rsidR="005613B2" w:rsidRDefault="005613B2" w:rsidP="00587E4A">
      <w:pPr>
        <w:spacing w:after="0" w:line="240" w:lineRule="auto"/>
      </w:pPr>
    </w:p>
    <w:p w14:paraId="0297A739" w14:textId="1ADD5797" w:rsidR="0031496F" w:rsidRDefault="00587E4A" w:rsidP="00587E4A">
      <w:pPr>
        <w:spacing w:after="0" w:line="240" w:lineRule="auto"/>
      </w:pPr>
      <w:r>
        <w:t xml:space="preserve">It should be noted that the projections are only an estimate based on the available data. </w:t>
      </w:r>
      <w:r w:rsidR="00400BD9">
        <w:t xml:space="preserve">The relatively smooth growth projections of the region mask the changes that can be significantly volatile within </w:t>
      </w:r>
      <w:r w:rsidR="00BA2895">
        <w:t>smaller SA2 areas</w:t>
      </w:r>
      <w:r w:rsidR="00400BD9">
        <w:t xml:space="preserve">, as industries evolve, respond to local conditions (particularly land use change constraints), </w:t>
      </w:r>
      <w:r w:rsidR="007146F8">
        <w:t>and move between areas or elsewhere</w:t>
      </w:r>
      <w:r w:rsidR="00400BD9">
        <w:t xml:space="preserve">.  For this reason, it is important to acknowledge that the results presented are projections and </w:t>
      </w:r>
      <w:r w:rsidR="00400BD9" w:rsidRPr="00BA2895">
        <w:rPr>
          <w:i/>
          <w:iCs/>
        </w:rPr>
        <w:t>not</w:t>
      </w:r>
      <w:r w:rsidR="00400BD9">
        <w:t xml:space="preserve"> predictions – it is not possible to predict the future. </w:t>
      </w:r>
      <w:r>
        <w:t xml:space="preserve">The medium, high, and low projections give a range of projections that are plausible, having been developed under a limited set of assumptions. </w:t>
      </w:r>
      <w:r w:rsidR="007146F8">
        <w:t>T</w:t>
      </w:r>
      <w:r>
        <w:t xml:space="preserve">he </w:t>
      </w:r>
      <w:r w:rsidR="00BA2895">
        <w:t>projections</w:t>
      </w:r>
      <w:r>
        <w:t xml:space="preserve"> </w:t>
      </w:r>
      <w:r w:rsidR="007146F8">
        <w:t xml:space="preserve">produced </w:t>
      </w:r>
      <w:r>
        <w:t xml:space="preserve">have a higher degree of uncertainty in the long run than in the short run. </w:t>
      </w:r>
      <w:r w:rsidR="008F6A1A">
        <w:t xml:space="preserve">In this report, </w:t>
      </w:r>
      <w:r w:rsidR="007146F8">
        <w:t xml:space="preserve">we </w:t>
      </w:r>
      <w:r w:rsidR="0031496F">
        <w:t xml:space="preserve">use the high </w:t>
      </w:r>
      <w:r w:rsidR="00BA2895">
        <w:t xml:space="preserve">growth </w:t>
      </w:r>
      <w:r w:rsidR="0031496F">
        <w:t xml:space="preserve">projection </w:t>
      </w:r>
      <w:r w:rsidR="00BA2895">
        <w:t xml:space="preserve">series </w:t>
      </w:r>
      <w:r w:rsidR="0031496F">
        <w:t>as an exemplar</w:t>
      </w:r>
      <w:r w:rsidR="00BA2895">
        <w:t xml:space="preserve"> for reporting</w:t>
      </w:r>
      <w:r w:rsidR="0031496F">
        <w:t xml:space="preserve">. </w:t>
      </w:r>
      <w:r w:rsidR="00BA2895">
        <w:t xml:space="preserve">This series is based on both high population and economic growth.  </w:t>
      </w:r>
      <w:r w:rsidR="0031496F">
        <w:t xml:space="preserve">Looking back at </w:t>
      </w:r>
      <w:r w:rsidR="00BA2895">
        <w:t xml:space="preserve">the </w:t>
      </w:r>
      <w:r w:rsidR="0031496F">
        <w:t xml:space="preserve">previous </w:t>
      </w:r>
      <w:r w:rsidR="00BA2895">
        <w:t xml:space="preserve">WISE </w:t>
      </w:r>
      <w:r w:rsidR="0031496F">
        <w:t>projection</w:t>
      </w:r>
      <w:r w:rsidR="00BA2895">
        <w:t>s</w:t>
      </w:r>
      <w:r w:rsidR="0031496F">
        <w:t xml:space="preserve">, the high </w:t>
      </w:r>
      <w:r w:rsidR="00BA2895">
        <w:t xml:space="preserve">growth </w:t>
      </w:r>
      <w:r w:rsidR="0031496F">
        <w:t>projection series has performed best in describing growth over the preceding 10 years.</w:t>
      </w:r>
    </w:p>
    <w:p w14:paraId="4EAAD4D5" w14:textId="77777777" w:rsidR="00587E4A" w:rsidRDefault="00587E4A" w:rsidP="00587E4A">
      <w:pPr>
        <w:spacing w:after="0" w:line="240" w:lineRule="auto"/>
      </w:pPr>
    </w:p>
    <w:p w14:paraId="7657B48F" w14:textId="736DD0AE" w:rsidR="00400BD9" w:rsidRPr="00400BD9" w:rsidRDefault="00587E4A" w:rsidP="00400BD9">
      <w:r>
        <w:t xml:space="preserve">It </w:t>
      </w:r>
      <w:r w:rsidR="00723313">
        <w:t>should be noted</w:t>
      </w:r>
      <w:r>
        <w:t xml:space="preserve"> that these projections have been developed through the collaborative effort of several organisations.  This includes Waikato Regional Council, the</w:t>
      </w:r>
      <w:r w:rsidR="00794615">
        <w:t xml:space="preserve"> </w:t>
      </w:r>
      <w:r w:rsidR="00D23C33">
        <w:t>Territorial Authorities</w:t>
      </w:r>
      <w:r w:rsidR="00794615">
        <w:t xml:space="preserve"> </w:t>
      </w:r>
      <w:r w:rsidR="00D23C33">
        <w:t xml:space="preserve">(TAs) </w:t>
      </w:r>
      <w:r w:rsidR="007146F8">
        <w:t>of the</w:t>
      </w:r>
      <w:r>
        <w:t xml:space="preserve"> </w:t>
      </w:r>
      <w:r>
        <w:lastRenderedPageBreak/>
        <w:t xml:space="preserve">Waikato Region, the University of Waikato, and independent economic and GIS consultants.  </w:t>
      </w:r>
      <w:r w:rsidR="0031496F">
        <w:t>The projections are fully compatible with those produced at the regional level by WISE</w:t>
      </w:r>
      <w:r>
        <w:t>.  The use of WISE represents a ‘step change’, but also ‘test-bed’, within New Zealand for the use of state-of-the-art technology in the development of these projections.  WISE is unique in its depth of coverage of socio-economic and environmental wellbeing through an integration of existing demographic, land use, economics, and environment models.  This integrated systems-based approach provides unique insights into the key trade-offs (supply versus demand) faced within the Waikato region.</w:t>
      </w:r>
    </w:p>
    <w:p w14:paraId="6D6BD803" w14:textId="42230965" w:rsidR="00FF72BF" w:rsidRDefault="00DE2E68" w:rsidP="00FF72BF">
      <w:pPr>
        <w:pStyle w:val="Heading1"/>
      </w:pPr>
      <w:bookmarkStart w:id="1" w:name="_Toc70694880"/>
      <w:r>
        <w:lastRenderedPageBreak/>
        <w:t>Projections of economic outcomes by SA2</w:t>
      </w:r>
      <w:bookmarkEnd w:id="1"/>
    </w:p>
    <w:p w14:paraId="552C51DD" w14:textId="4CA17CE5" w:rsidR="006D1D72" w:rsidRPr="006D1D72" w:rsidRDefault="006D1D72" w:rsidP="006D1D72">
      <w:r>
        <w:t>The methodology used to generate the economic projections is outlined below in five steps.  This is followed by more detailed information on the selection of regression model</w:t>
      </w:r>
      <w:r w:rsidR="00BA2895">
        <w:t>s</w:t>
      </w:r>
      <w:r>
        <w:t xml:space="preserve"> </w:t>
      </w:r>
      <w:r w:rsidR="00BA2895">
        <w:t xml:space="preserve">and underpinning data </w:t>
      </w:r>
      <w:r>
        <w:t>applied as a part of the methodology.</w:t>
      </w:r>
    </w:p>
    <w:p w14:paraId="1E65782A" w14:textId="050EF7C9" w:rsidR="00BB1FCE" w:rsidRDefault="00BB1FCE" w:rsidP="00BB1FCE">
      <w:pPr>
        <w:pStyle w:val="Heading2"/>
      </w:pPr>
      <w:bookmarkStart w:id="2" w:name="_Toc70694881"/>
      <w:r>
        <w:t>Methodology</w:t>
      </w:r>
      <w:bookmarkEnd w:id="2"/>
    </w:p>
    <w:p w14:paraId="37D790A5" w14:textId="77777777" w:rsidR="006475DF" w:rsidRDefault="006475DF" w:rsidP="006475DF">
      <w:pPr>
        <w:rPr>
          <w:b/>
        </w:rPr>
      </w:pPr>
      <w:r>
        <w:rPr>
          <w:b/>
        </w:rPr>
        <w:t>Step 1: Update the WISE economic model final demand projections</w:t>
      </w:r>
    </w:p>
    <w:p w14:paraId="63D4EAAC" w14:textId="77777777" w:rsidR="006475DF" w:rsidRDefault="006475DF" w:rsidP="006475DF">
      <w:r>
        <w:t>A key driver of the WISE economic model</w:t>
      </w:r>
      <w:r>
        <w:rPr>
          <w:rStyle w:val="FootnoteReference"/>
        </w:rPr>
        <w:footnoteReference w:id="4"/>
      </w:r>
      <w:r>
        <w:t xml:space="preserve"> is final demand projections covering domestic consumption, international exports, interregional exports, gross fixed capital formation, and net changes in stocks.  The following methods and data were used for updating:</w:t>
      </w:r>
    </w:p>
    <w:p w14:paraId="7A3BB56D" w14:textId="351ED594" w:rsidR="006475DF" w:rsidRDefault="006475DF" w:rsidP="006475DF">
      <w:pPr>
        <w:pStyle w:val="ListParagraph"/>
        <w:numPr>
          <w:ilvl w:val="0"/>
          <w:numId w:val="16"/>
        </w:numPr>
        <w:spacing w:after="160" w:line="256" w:lineRule="auto"/>
      </w:pPr>
      <w:r>
        <w:rPr>
          <w:i/>
        </w:rPr>
        <w:t>Domestic consumption projections</w:t>
      </w:r>
      <w:r>
        <w:t xml:space="preserve">:  These are derived from </w:t>
      </w:r>
      <w:r w:rsidR="007427DB">
        <w:t xml:space="preserve">Assoc. Prof. </w:t>
      </w:r>
      <w:r>
        <w:t>Michael Cameron’s population model by age-sex projections</w:t>
      </w:r>
      <w:r w:rsidR="007427DB">
        <w:t xml:space="preserve"> at a regional level</w:t>
      </w:r>
      <w:r>
        <w:t>.  Adjustments, as outlined in the WISE technical specifications report, are made for the different consumption characteristics of different age-sex cohorts.</w:t>
      </w:r>
    </w:p>
    <w:p w14:paraId="5FAC1AD8" w14:textId="4520228A" w:rsidR="006475DF" w:rsidRDefault="006475DF" w:rsidP="006475DF">
      <w:pPr>
        <w:pStyle w:val="ListParagraph"/>
        <w:numPr>
          <w:ilvl w:val="0"/>
          <w:numId w:val="16"/>
        </w:numPr>
        <w:spacing w:after="160" w:line="256" w:lineRule="auto"/>
      </w:pPr>
      <w:r>
        <w:rPr>
          <w:i/>
        </w:rPr>
        <w:t>International exports, Gross Fixed Capital Formation, and Net Changes in Stocks</w:t>
      </w:r>
      <w:r>
        <w:t xml:space="preserve">.  These are derived econometrically from time series data supplied by </w:t>
      </w:r>
      <w:r w:rsidR="00981F9D">
        <w:t>StatsNZ</w:t>
      </w:r>
      <w:r>
        <w:t xml:space="preserve"> for international trade and capital expenditure.  Particular attention was given to ensuring that </w:t>
      </w:r>
      <w:r w:rsidR="007427DB">
        <w:t xml:space="preserve">these projections reflect prevailing dynamics </w:t>
      </w:r>
      <w:r>
        <w:t xml:space="preserve">in key Waikato </w:t>
      </w:r>
      <w:r w:rsidR="007427DB">
        <w:t xml:space="preserve">agriculture and aligned processing </w:t>
      </w:r>
      <w:r>
        <w:t>industries.</w:t>
      </w:r>
    </w:p>
    <w:p w14:paraId="479802CC" w14:textId="05366C45" w:rsidR="006475DF" w:rsidRPr="00710FF1" w:rsidRDefault="006475DF" w:rsidP="006475DF">
      <w:pPr>
        <w:pStyle w:val="ListParagraph"/>
        <w:numPr>
          <w:ilvl w:val="0"/>
          <w:numId w:val="16"/>
        </w:numPr>
        <w:spacing w:after="160" w:line="256" w:lineRule="auto"/>
      </w:pPr>
      <w:r>
        <w:rPr>
          <w:i/>
        </w:rPr>
        <w:t>Update of the Waikato Region multi-regional input-output table</w:t>
      </w:r>
      <w:r w:rsidR="007427DB">
        <w:rPr>
          <w:i/>
        </w:rPr>
        <w:t xml:space="preserve"> to 2018</w:t>
      </w:r>
      <w:r>
        <w:t xml:space="preserve">.  This table, which is based on </w:t>
      </w:r>
      <w:proofErr w:type="spellStart"/>
      <w:r w:rsidR="00981F9D">
        <w:t>StatsNZ</w:t>
      </w:r>
      <w:r>
        <w:t>’s</w:t>
      </w:r>
      <w:proofErr w:type="spellEnd"/>
      <w:r>
        <w:t xml:space="preserve"> inter-industry study for the New Zealand economy for 201</w:t>
      </w:r>
      <w:r w:rsidR="0021733A">
        <w:t>6</w:t>
      </w:r>
      <w:r>
        <w:t xml:space="preserve">, underpins the WISE economic model.  Full technical documentation of this update </w:t>
      </w:r>
      <w:r w:rsidR="007427DB">
        <w:t>is</w:t>
      </w:r>
      <w:r>
        <w:t xml:space="preserve"> available from Market Economics Ltd upon request.</w:t>
      </w:r>
    </w:p>
    <w:p w14:paraId="2DB02A72" w14:textId="5DEEDD5C" w:rsidR="006475DF" w:rsidRDefault="006475DF" w:rsidP="006475DF">
      <w:pPr>
        <w:rPr>
          <w:b/>
        </w:rPr>
      </w:pPr>
      <w:r>
        <w:rPr>
          <w:b/>
        </w:rPr>
        <w:t xml:space="preserve">Step 2: Update the WISE </w:t>
      </w:r>
      <w:r w:rsidR="006B3957">
        <w:rPr>
          <w:b/>
        </w:rPr>
        <w:t>e</w:t>
      </w:r>
      <w:r>
        <w:rPr>
          <w:b/>
        </w:rPr>
        <w:t xml:space="preserve">conomic </w:t>
      </w:r>
      <w:r w:rsidR="006B3957">
        <w:rPr>
          <w:b/>
        </w:rPr>
        <w:t>m</w:t>
      </w:r>
      <w:r>
        <w:rPr>
          <w:b/>
        </w:rPr>
        <w:t>odel</w:t>
      </w:r>
      <w:r w:rsidR="004440F9">
        <w:rPr>
          <w:b/>
        </w:rPr>
        <w:t xml:space="preserve"> – </w:t>
      </w:r>
      <w:r>
        <w:rPr>
          <w:b/>
        </w:rPr>
        <w:t xml:space="preserve">for </w:t>
      </w:r>
      <w:r w:rsidR="006B3957">
        <w:rPr>
          <w:b/>
        </w:rPr>
        <w:t>i</w:t>
      </w:r>
      <w:r>
        <w:rPr>
          <w:b/>
        </w:rPr>
        <w:t xml:space="preserve">nvestments and </w:t>
      </w:r>
      <w:r w:rsidR="006B3957">
        <w:rPr>
          <w:b/>
        </w:rPr>
        <w:t>a</w:t>
      </w:r>
      <w:r>
        <w:rPr>
          <w:b/>
        </w:rPr>
        <w:t>spirations</w:t>
      </w:r>
    </w:p>
    <w:p w14:paraId="28F4911C" w14:textId="4EBF3590" w:rsidR="006475DF" w:rsidRPr="00710FF1" w:rsidRDefault="00CD77EB" w:rsidP="006475DF">
      <w:r>
        <w:t>W</w:t>
      </w:r>
      <w:r w:rsidR="006475DF">
        <w:t>orkshop</w:t>
      </w:r>
      <w:r w:rsidR="007427DB">
        <w:t>s</w:t>
      </w:r>
      <w:r>
        <w:t xml:space="preserve"> with local government GIS, policy advisors and analysts</w:t>
      </w:r>
      <w:r w:rsidR="006475DF">
        <w:t xml:space="preserve"> </w:t>
      </w:r>
      <w:r>
        <w:t xml:space="preserve">were </w:t>
      </w:r>
      <w:r w:rsidR="006475DF">
        <w:t>held to determine likely major investments and growth aspirations over the next 30</w:t>
      </w:r>
      <w:r>
        <w:t>-40</w:t>
      </w:r>
      <w:r w:rsidR="006475DF">
        <w:t xml:space="preserve"> years. </w:t>
      </w:r>
      <w:r>
        <w:t>This</w:t>
      </w:r>
      <w:r w:rsidR="006475DF">
        <w:t xml:space="preserve"> ensured that investments and aspirations were captured in WISE geographically (through road network additions and zoning areas and rules) through time.</w:t>
      </w:r>
    </w:p>
    <w:p w14:paraId="496F9D83" w14:textId="2FAF0B22" w:rsidR="006475DF" w:rsidRDefault="006475DF" w:rsidP="006475DF">
      <w:pPr>
        <w:rPr>
          <w:b/>
        </w:rPr>
      </w:pPr>
      <w:r>
        <w:rPr>
          <w:b/>
        </w:rPr>
        <w:t xml:space="preserve">Step 3: Run the WISE </w:t>
      </w:r>
      <w:r w:rsidR="006B3957">
        <w:rPr>
          <w:b/>
        </w:rPr>
        <w:t>m</w:t>
      </w:r>
      <w:r>
        <w:rPr>
          <w:b/>
        </w:rPr>
        <w:t>odel</w:t>
      </w:r>
      <w:r w:rsidR="006B3957">
        <w:rPr>
          <w:b/>
        </w:rPr>
        <w:t xml:space="preserve"> </w:t>
      </w:r>
      <w:r w:rsidR="004440F9">
        <w:rPr>
          <w:b/>
        </w:rPr>
        <w:t>– producing land use estimates for the SA2 modeling</w:t>
      </w:r>
    </w:p>
    <w:p w14:paraId="3B13923C" w14:textId="2671952B" w:rsidR="00710FF1" w:rsidRDefault="006475DF" w:rsidP="006475DF">
      <w:r>
        <w:t xml:space="preserve">Under this step, the WISE model was run.  Figure 1 illustrates how WISE final demand projections are used to drive WISE.  Specifically, these projections along with the multi-regional input-output model contained within WISE, sets </w:t>
      </w:r>
      <w:r>
        <w:rPr>
          <w:i/>
        </w:rPr>
        <w:t>demand</w:t>
      </w:r>
      <w:r>
        <w:t xml:space="preserve"> for primarily non-residential land use types contained within WISE.  The WISE land use model then allocates this demand (based on zoning, suitability, </w:t>
      </w:r>
      <w:r w:rsidR="00BA2895">
        <w:t>accessibility,</w:t>
      </w:r>
      <w:r>
        <w:t xml:space="preserve"> and spatial interactions rules) to land use types at a 100m x 100m grid cell resolution.  Since land is a scare resource, with many competing uses, the WISE land use model may not sufficiently allocate land to </w:t>
      </w:r>
      <w:r>
        <w:lastRenderedPageBreak/>
        <w:t xml:space="preserve">fulfil demand.  This typically only happens for the larger competing land use types such as livestock farming, dairy farming, forestry, other </w:t>
      </w:r>
      <w:r w:rsidR="00BA2895">
        <w:t>farming,</w:t>
      </w:r>
      <w:r>
        <w:t xml:space="preserve"> and horticulture.  The WISE economic model, in turn, accounts for this lack of land </w:t>
      </w:r>
      <w:r>
        <w:rPr>
          <w:i/>
        </w:rPr>
        <w:t>supply</w:t>
      </w:r>
      <w:r>
        <w:t xml:space="preserve"> and reduces the economic output produced by those economic sectors, along with key down-stream industries, using the impacted land use types.</w:t>
      </w:r>
    </w:p>
    <w:p w14:paraId="74CF68BE" w14:textId="6A24CF6D" w:rsidR="00710FF1" w:rsidRPr="00710FF1" w:rsidRDefault="00710FF1" w:rsidP="006475DF">
      <w:pPr>
        <w:rPr>
          <w:b/>
        </w:rPr>
      </w:pPr>
      <w:r>
        <w:rPr>
          <w:b/>
        </w:rPr>
        <w:t>Figure 1 WISE Economic Model</w:t>
      </w:r>
    </w:p>
    <w:p w14:paraId="7145CECC" w14:textId="7832B743" w:rsidR="006475DF" w:rsidRPr="00710FF1" w:rsidRDefault="006475DF" w:rsidP="006475DF">
      <w:r>
        <w:rPr>
          <w:noProof/>
          <w:lang w:eastAsia="en-NZ"/>
        </w:rPr>
        <w:drawing>
          <wp:inline distT="0" distB="0" distL="0" distR="0" wp14:anchorId="24DD3830" wp14:editId="55C1606E">
            <wp:extent cx="5731510" cy="372237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722370"/>
                    </a:xfrm>
                    <a:prstGeom prst="rect">
                      <a:avLst/>
                    </a:prstGeom>
                    <a:noFill/>
                    <a:ln>
                      <a:noFill/>
                    </a:ln>
                  </pic:spPr>
                </pic:pic>
              </a:graphicData>
            </a:graphic>
          </wp:inline>
        </w:drawing>
      </w:r>
      <w:r>
        <w:rPr>
          <w:b/>
        </w:rPr>
        <w:t xml:space="preserve">Step 5: </w:t>
      </w:r>
      <w:r w:rsidR="004440F9">
        <w:rPr>
          <w:b/>
        </w:rPr>
        <w:t xml:space="preserve">SA2 </w:t>
      </w:r>
      <w:r>
        <w:rPr>
          <w:b/>
        </w:rPr>
        <w:t xml:space="preserve">Economic </w:t>
      </w:r>
      <w:r w:rsidR="004440F9">
        <w:rPr>
          <w:b/>
        </w:rPr>
        <w:t>p</w:t>
      </w:r>
      <w:r>
        <w:rPr>
          <w:b/>
        </w:rPr>
        <w:t>rojections</w:t>
      </w:r>
    </w:p>
    <w:p w14:paraId="1B79C8F9" w14:textId="13CFBB3D" w:rsidR="006475DF" w:rsidRDefault="006475DF" w:rsidP="006475DF">
      <w:r>
        <w:t>This step of the methodology involve</w:t>
      </w:r>
      <w:r w:rsidR="00CD77EB">
        <w:t>s</w:t>
      </w:r>
      <w:r>
        <w:t xml:space="preserve"> deriving employment and </w:t>
      </w:r>
      <w:proofErr w:type="gramStart"/>
      <w:r>
        <w:t>value added</w:t>
      </w:r>
      <w:proofErr w:type="gramEnd"/>
      <w:r>
        <w:t xml:space="preserve"> projections</w:t>
      </w:r>
      <w:r w:rsidR="005F579D">
        <w:t xml:space="preserve"> using least squares regression</w:t>
      </w:r>
      <w:r>
        <w:t>, by 48 IO industries, for each SA2 within Waikato Region</w:t>
      </w:r>
      <w:r w:rsidR="004440F9">
        <w:t xml:space="preserve"> – further details are provided in </w:t>
      </w:r>
      <w:r w:rsidR="0045131F">
        <w:t>Section</w:t>
      </w:r>
      <w:r w:rsidR="004440F9">
        <w:t>s</w:t>
      </w:r>
      <w:r w:rsidR="0045131F">
        <w:t xml:space="preserve"> 2.2 and 2.3 </w:t>
      </w:r>
      <w:r w:rsidR="004440F9">
        <w:t>below</w:t>
      </w:r>
      <w:r w:rsidR="0045131F">
        <w:t>. The</w:t>
      </w:r>
      <w:r w:rsidR="00D909AA">
        <w:t>se</w:t>
      </w:r>
      <w:r w:rsidR="0045131F">
        <w:t xml:space="preserve"> projections provide </w:t>
      </w:r>
      <w:r w:rsidR="0045131F" w:rsidRPr="004440F9">
        <w:rPr>
          <w:i/>
          <w:iCs/>
        </w:rPr>
        <w:t>bottom-up</w:t>
      </w:r>
      <w:r w:rsidR="0045131F">
        <w:t xml:space="preserve"> estimates of employment at the SA2 level – which enable</w:t>
      </w:r>
      <w:r w:rsidR="00670BCB">
        <w:t>s</w:t>
      </w:r>
      <w:r w:rsidR="0045131F">
        <w:t xml:space="preserve"> us to determine </w:t>
      </w:r>
      <w:r w:rsidR="0045131F" w:rsidRPr="00670BCB">
        <w:rPr>
          <w:i/>
          <w:iCs/>
        </w:rPr>
        <w:t>where</w:t>
      </w:r>
      <w:r w:rsidR="0045131F">
        <w:t xml:space="preserve"> </w:t>
      </w:r>
      <w:r w:rsidR="00670BCB" w:rsidRPr="00670BCB">
        <w:t>industry employment</w:t>
      </w:r>
      <w:r w:rsidR="0045131F">
        <w:t xml:space="preserve"> will be allocated (</w:t>
      </w:r>
      <w:r w:rsidR="00BA2895">
        <w:t>i.e.</w:t>
      </w:r>
      <w:r w:rsidR="00D909AA">
        <w:t xml:space="preserve"> </w:t>
      </w:r>
      <w:r w:rsidR="0045131F">
        <w:t xml:space="preserve">across </w:t>
      </w:r>
      <w:r w:rsidR="00D909AA">
        <w:t xml:space="preserve">which </w:t>
      </w:r>
      <w:r w:rsidR="0045131F">
        <w:t xml:space="preserve">SA2 areas). We, in turn, scale these, at an industry level, to the annual </w:t>
      </w:r>
      <w:r w:rsidR="004440F9">
        <w:t>(</w:t>
      </w:r>
      <w:r w:rsidR="004440F9" w:rsidRPr="004440F9">
        <w:rPr>
          <w:i/>
          <w:iCs/>
        </w:rPr>
        <w:t>top-down</w:t>
      </w:r>
      <w:r w:rsidR="004440F9">
        <w:t xml:space="preserve">) </w:t>
      </w:r>
      <w:r w:rsidR="0045131F">
        <w:t xml:space="preserve">projection estimates generated from the WISE model.  This ensures that the </w:t>
      </w:r>
      <w:r w:rsidR="00670BCB" w:rsidRPr="00D909AA">
        <w:rPr>
          <w:i/>
          <w:iCs/>
        </w:rPr>
        <w:t>bottom up</w:t>
      </w:r>
      <w:r w:rsidR="00670BCB">
        <w:t xml:space="preserve"> </w:t>
      </w:r>
      <w:r w:rsidR="0045131F">
        <w:t xml:space="preserve">SA2 estimates at the industry level sum </w:t>
      </w:r>
      <w:r w:rsidR="000D693C">
        <w:t xml:space="preserve">exactly </w:t>
      </w:r>
      <w:r w:rsidR="0045131F">
        <w:t xml:space="preserve">to </w:t>
      </w:r>
      <w:r w:rsidR="00670BCB">
        <w:t xml:space="preserve">their </w:t>
      </w:r>
      <w:r w:rsidR="00670BCB" w:rsidRPr="00D909AA">
        <w:rPr>
          <w:i/>
          <w:iCs/>
        </w:rPr>
        <w:t>top-down</w:t>
      </w:r>
      <w:r w:rsidR="00670BCB">
        <w:t xml:space="preserve"> </w:t>
      </w:r>
      <w:r w:rsidR="0045131F">
        <w:t xml:space="preserve">regional </w:t>
      </w:r>
      <w:r w:rsidR="00670BCB">
        <w:t>equivalents</w:t>
      </w:r>
      <w:r w:rsidR="0045131F">
        <w:t xml:space="preserve">. </w:t>
      </w:r>
      <w:r w:rsidR="000D693C">
        <w:t>T</w:t>
      </w:r>
      <w:r>
        <w:t>he economic regression model</w:t>
      </w:r>
      <w:r w:rsidR="000D693C">
        <w:t>s</w:t>
      </w:r>
      <w:r>
        <w:t xml:space="preserve"> </w:t>
      </w:r>
      <w:r w:rsidR="00506ED6">
        <w:t xml:space="preserve">produce </w:t>
      </w:r>
      <w:r>
        <w:t>estimate</w:t>
      </w:r>
      <w:r w:rsidR="00506ED6">
        <w:t>s</w:t>
      </w:r>
      <w:r>
        <w:t xml:space="preserve"> of total employment by </w:t>
      </w:r>
      <w:r w:rsidR="00506ED6">
        <w:t xml:space="preserve">48 </w:t>
      </w:r>
      <w:r>
        <w:t>industr</w:t>
      </w:r>
      <w:r w:rsidR="00506ED6">
        <w:t>ies</w:t>
      </w:r>
      <w:r w:rsidR="004440F9">
        <w:t xml:space="preserve">, which are, in turn, aggregated </w:t>
      </w:r>
      <w:r w:rsidR="000D693C">
        <w:t xml:space="preserve">to the </w:t>
      </w:r>
      <w:r w:rsidR="004440F9">
        <w:t xml:space="preserve">1 Digit ANZSIC </w:t>
      </w:r>
      <w:r w:rsidR="000D693C">
        <w:t>level</w:t>
      </w:r>
      <w:r w:rsidR="004440F9">
        <w:t xml:space="preserve"> (</w:t>
      </w:r>
      <w:r w:rsidR="0072150F">
        <w:t>19</w:t>
      </w:r>
      <w:r w:rsidR="004440F9">
        <w:t xml:space="preserve"> industries)</w:t>
      </w:r>
      <w:r>
        <w:t xml:space="preserve"> for each SA2. The estimates of employment are then converted to estimates of value added, by applying a value added-to-employment ratio for each industry and adjusting for estimated growth in productivity (</w:t>
      </w:r>
      <w:r w:rsidR="00BA2895">
        <w:t>i.e.</w:t>
      </w:r>
      <w:r>
        <w:t xml:space="preserve"> value added per worker) over time.</w:t>
      </w:r>
    </w:p>
    <w:p w14:paraId="216584C9" w14:textId="692936D4" w:rsidR="00BB1FCE" w:rsidRDefault="00BB1FCE" w:rsidP="00BB1FCE">
      <w:pPr>
        <w:pStyle w:val="Heading2"/>
      </w:pPr>
      <w:bookmarkStart w:id="3" w:name="_Toc70694882"/>
      <w:r>
        <w:t>Data</w:t>
      </w:r>
      <w:r w:rsidR="005F579D">
        <w:t xml:space="preserve"> for the SA2 Projections</w:t>
      </w:r>
      <w:bookmarkEnd w:id="3"/>
    </w:p>
    <w:p w14:paraId="137AB36D" w14:textId="646089E3" w:rsidR="006475DF" w:rsidRDefault="006475DF" w:rsidP="006475DF">
      <w:r>
        <w:t xml:space="preserve">For the </w:t>
      </w:r>
      <w:r w:rsidR="005F579D">
        <w:t xml:space="preserve">least-squares </w:t>
      </w:r>
      <w:r>
        <w:t xml:space="preserve">regression model, a set of historical </w:t>
      </w:r>
      <w:r w:rsidR="00D42E4E">
        <w:t xml:space="preserve">and projection </w:t>
      </w:r>
      <w:r>
        <w:t xml:space="preserve">data </w:t>
      </w:r>
      <w:r w:rsidR="00D42E4E">
        <w:t>was</w:t>
      </w:r>
      <w:r>
        <w:t xml:space="preserve"> </w:t>
      </w:r>
      <w:r w:rsidR="00D42E4E">
        <w:t>utilised</w:t>
      </w:r>
      <w:r>
        <w:t xml:space="preserve">, containing both dependent and independent variables.  </w:t>
      </w:r>
      <w:r w:rsidR="000D693C">
        <w:t>The modeling</w:t>
      </w:r>
      <w:r>
        <w:t xml:space="preserve"> derive</w:t>
      </w:r>
      <w:r w:rsidR="000D693C">
        <w:t>s</w:t>
      </w:r>
      <w:r>
        <w:t xml:space="preserve"> a set of parameters that will enable </w:t>
      </w:r>
      <w:r>
        <w:lastRenderedPageBreak/>
        <w:t>unknown dependent variables to be derived, based on estimates of future independent variables.  Below is a brief description of the historic and future datasets.</w:t>
      </w:r>
    </w:p>
    <w:p w14:paraId="3512FC2F" w14:textId="586E8C70" w:rsidR="006475DF" w:rsidRDefault="006475DF" w:rsidP="004440F9">
      <w:pPr>
        <w:pStyle w:val="ListParagraph"/>
        <w:numPr>
          <w:ilvl w:val="0"/>
          <w:numId w:val="17"/>
        </w:numPr>
        <w:spacing w:after="160" w:line="256" w:lineRule="auto"/>
      </w:pPr>
      <w:r>
        <w:rPr>
          <w:i/>
        </w:rPr>
        <w:t>Employment</w:t>
      </w:r>
      <w:r>
        <w:t xml:space="preserve"> - Historical employment data </w:t>
      </w:r>
      <w:r w:rsidR="000D693C">
        <w:t xml:space="preserve">(2006 to 2020) </w:t>
      </w:r>
      <w:r>
        <w:t xml:space="preserve">is obtained from </w:t>
      </w:r>
      <w:proofErr w:type="spellStart"/>
      <w:r>
        <w:t>Stat</w:t>
      </w:r>
      <w:r w:rsidR="000D693C">
        <w:t>sNZ</w:t>
      </w:r>
      <w:r>
        <w:t>’s</w:t>
      </w:r>
      <w:proofErr w:type="spellEnd"/>
      <w:r>
        <w:t xml:space="preserve"> Business Directory</w:t>
      </w:r>
      <w:r w:rsidR="004440F9">
        <w:t>.</w:t>
      </w:r>
      <w:r>
        <w:t xml:space="preserve">  This data, originally measured in Employment Counts (ECs), is translated to Modified Employment Count</w:t>
      </w:r>
      <w:r w:rsidR="000D693C">
        <w:t>s</w:t>
      </w:r>
      <w:r>
        <w:t xml:space="preserve"> (MEC</w:t>
      </w:r>
      <w:r w:rsidR="000D693C">
        <w:t>s</w:t>
      </w:r>
      <w:r>
        <w:t xml:space="preserve">) measure. MECs are Employment Counts (ECs) adjusted to </w:t>
      </w:r>
      <w:r w:rsidR="000D693C">
        <w:t>include</w:t>
      </w:r>
      <w:r>
        <w:t xml:space="preserve"> estimates of working proprietors</w:t>
      </w:r>
      <w:r w:rsidR="004440F9">
        <w:t>.</w:t>
      </w:r>
    </w:p>
    <w:p w14:paraId="17BD03A0" w14:textId="390EF5DA" w:rsidR="006475DF" w:rsidRDefault="006475DF" w:rsidP="004440F9">
      <w:pPr>
        <w:pStyle w:val="ListParagraph"/>
        <w:numPr>
          <w:ilvl w:val="0"/>
          <w:numId w:val="17"/>
        </w:numPr>
        <w:spacing w:after="160" w:line="256" w:lineRule="auto"/>
      </w:pPr>
      <w:r>
        <w:rPr>
          <w:i/>
        </w:rPr>
        <w:t xml:space="preserve">Land Use – </w:t>
      </w:r>
      <w:r>
        <w:t>The land use projection</w:t>
      </w:r>
      <w:r w:rsidR="004440F9">
        <w:t>s</w:t>
      </w:r>
      <w:r>
        <w:t xml:space="preserve"> </w:t>
      </w:r>
      <w:r w:rsidR="000D693C">
        <w:t xml:space="preserve">(2018 to 2068) </w:t>
      </w:r>
      <w:r w:rsidR="004440F9">
        <w:t>by type are</w:t>
      </w:r>
      <w:r>
        <w:t xml:space="preserve"> obtained from </w:t>
      </w:r>
      <w:r w:rsidR="005F579D">
        <w:t>WISE</w:t>
      </w:r>
      <w:r w:rsidR="00D42E4E">
        <w:t xml:space="preserve"> covering the period 2018 to 2068</w:t>
      </w:r>
      <w:r>
        <w:t xml:space="preserve">. The land use data is </w:t>
      </w:r>
      <w:r w:rsidR="000D693C">
        <w:t>disaggregated</w:t>
      </w:r>
      <w:r>
        <w:t xml:space="preserve"> by 24 </w:t>
      </w:r>
      <w:r w:rsidR="000D693C">
        <w:t xml:space="preserve">land </w:t>
      </w:r>
      <w:r>
        <w:t xml:space="preserve">types by SA2. </w:t>
      </w:r>
    </w:p>
    <w:p w14:paraId="626F87A7" w14:textId="44B8E958" w:rsidR="00D42E4E" w:rsidRDefault="006475DF" w:rsidP="00D42E4E">
      <w:pPr>
        <w:pStyle w:val="ListParagraph"/>
        <w:numPr>
          <w:ilvl w:val="0"/>
          <w:numId w:val="17"/>
        </w:numPr>
        <w:spacing w:after="160" w:line="256" w:lineRule="auto"/>
      </w:pPr>
      <w:r>
        <w:rPr>
          <w:i/>
        </w:rPr>
        <w:t xml:space="preserve">Population – </w:t>
      </w:r>
      <w:r>
        <w:t xml:space="preserve">Historical population data by SA2 was obtained from the </w:t>
      </w:r>
      <w:proofErr w:type="spellStart"/>
      <w:r>
        <w:t>StatsNZ</w:t>
      </w:r>
      <w:r w:rsidR="000D693C">
        <w:t>’s</w:t>
      </w:r>
      <w:proofErr w:type="spellEnd"/>
      <w:r>
        <w:t xml:space="preserve"> </w:t>
      </w:r>
      <w:r w:rsidR="00D42E4E">
        <w:t xml:space="preserve">Census of Population and Dwellings </w:t>
      </w:r>
      <w:r w:rsidR="000D693C">
        <w:t xml:space="preserve">(2006, 2013, 2018) </w:t>
      </w:r>
      <w:r w:rsidR="004440F9">
        <w:t xml:space="preserve">and </w:t>
      </w:r>
      <w:r>
        <w:t>projection</w:t>
      </w:r>
      <w:r w:rsidR="00D42E4E">
        <w:t>s</w:t>
      </w:r>
      <w:r>
        <w:t xml:space="preserve"> </w:t>
      </w:r>
      <w:r w:rsidR="000D693C">
        <w:t xml:space="preserve">(2018 to 2068) </w:t>
      </w:r>
      <w:r>
        <w:t xml:space="preserve">supplied by </w:t>
      </w:r>
      <w:r w:rsidR="005F579D">
        <w:t xml:space="preserve">Assoc. Prof. </w:t>
      </w:r>
      <w:r>
        <w:t>Michael Cameron</w:t>
      </w:r>
      <w:r w:rsidR="005F579D">
        <w:t xml:space="preserve"> of the University of Waikato.</w:t>
      </w:r>
    </w:p>
    <w:p w14:paraId="6336EC59" w14:textId="78F24ACB" w:rsidR="003E212B" w:rsidRDefault="003E212B" w:rsidP="003E212B">
      <w:pPr>
        <w:pStyle w:val="Heading2"/>
      </w:pPr>
      <w:bookmarkStart w:id="4" w:name="_Toc70694883"/>
      <w:r>
        <w:t>Model Specification</w:t>
      </w:r>
      <w:bookmarkEnd w:id="4"/>
    </w:p>
    <w:p w14:paraId="1A9AED91" w14:textId="49A1BC06" w:rsidR="006B3957" w:rsidRPr="0045131F" w:rsidRDefault="006475DF" w:rsidP="006475DF">
      <w:bookmarkStart w:id="5" w:name="_Toc403733065"/>
      <w:r w:rsidRPr="0045131F">
        <w:t xml:space="preserve">The least-squares regression is considered to compute the projections based on the historical </w:t>
      </w:r>
      <w:r w:rsidR="004440F9">
        <w:t xml:space="preserve">and projection </w:t>
      </w:r>
      <w:r w:rsidRPr="0045131F">
        <w:t>data</w:t>
      </w:r>
      <w:r w:rsidR="004440F9">
        <w:t xml:space="preserve"> detailed in Section 2.2</w:t>
      </w:r>
      <w:r w:rsidRPr="0045131F">
        <w:t xml:space="preserve">. </w:t>
      </w:r>
      <w:bookmarkStart w:id="6" w:name="_Toc403733063"/>
      <w:r w:rsidR="003B0246" w:rsidRPr="0045131F">
        <w:rPr>
          <w:bCs/>
        </w:rPr>
        <w:t xml:space="preserve">One of the most ubiquitous challenges </w:t>
      </w:r>
      <w:r w:rsidR="000D693C">
        <w:rPr>
          <w:bCs/>
        </w:rPr>
        <w:t>in</w:t>
      </w:r>
      <w:r w:rsidR="003B0246" w:rsidRPr="0045131F">
        <w:rPr>
          <w:bCs/>
        </w:rPr>
        <w:t xml:space="preserve"> </w:t>
      </w:r>
      <w:r w:rsidR="000D693C">
        <w:rPr>
          <w:bCs/>
        </w:rPr>
        <w:t>producing these projections is dealing</w:t>
      </w:r>
      <w:r w:rsidR="003B0246" w:rsidRPr="0045131F">
        <w:rPr>
          <w:bCs/>
        </w:rPr>
        <w:t xml:space="preserve"> with the random error present in the data.  In least squares regression analysis, this challenge </w:t>
      </w:r>
      <w:r w:rsidR="006B12E6">
        <w:rPr>
          <w:bCs/>
        </w:rPr>
        <w:t>can be</w:t>
      </w:r>
      <w:r w:rsidR="003B0246" w:rsidRPr="0045131F">
        <w:rPr>
          <w:bCs/>
        </w:rPr>
        <w:t xml:space="preserve"> addressed by computing p-values of the regression coefficients. The p-values represent the probability of a test statistic being at least as unusual as the one computed, given a null hypothesis being true. In this case, this is the null hypothesis corresponds to the coefficients being zero. This means that low p-values indicate that it would be rare to get a result as unusual as this if the coefficients were really zero. This test is often considered to “measure” the performance of the model against the error present in the data.</w:t>
      </w:r>
      <w:bookmarkEnd w:id="6"/>
      <w:bookmarkEnd w:id="5"/>
    </w:p>
    <w:p w14:paraId="62C59027" w14:textId="5AE3A33D" w:rsidR="003D5A61" w:rsidRDefault="003B0246" w:rsidP="006475DF">
      <w:r w:rsidRPr="0045131F">
        <w:t>In our approach, we consider</w:t>
      </w:r>
      <w:r w:rsidR="003D59FE" w:rsidRPr="0045131F">
        <w:t>ed</w:t>
      </w:r>
      <w:r w:rsidRPr="0045131F">
        <w:t xml:space="preserve"> three regression model</w:t>
      </w:r>
      <w:r w:rsidR="00A67E06" w:rsidRPr="0045131F">
        <w:t>s</w:t>
      </w:r>
      <w:r w:rsidR="003D59FE" w:rsidRPr="0045131F">
        <w:t xml:space="preserve">. </w:t>
      </w:r>
      <w:r w:rsidR="004440F9">
        <w:t>Under</w:t>
      </w:r>
      <w:r w:rsidR="004440F9" w:rsidRPr="004440F9">
        <w:t xml:space="preserve"> </w:t>
      </w:r>
      <w:r w:rsidR="004440F9">
        <w:t xml:space="preserve">the </w:t>
      </w:r>
      <w:r w:rsidR="004440F9" w:rsidRPr="004440F9">
        <w:t xml:space="preserve">first approach </w:t>
      </w:r>
      <w:r w:rsidR="004440F9">
        <w:t>the</w:t>
      </w:r>
      <w:r w:rsidR="004440F9" w:rsidRPr="004440F9">
        <w:t xml:space="preserve"> projection </w:t>
      </w:r>
      <w:r w:rsidR="004440F9">
        <w:t>was determined using</w:t>
      </w:r>
      <w:r w:rsidR="004440F9" w:rsidRPr="004440F9">
        <w:t xml:space="preserve"> </w:t>
      </w:r>
      <w:r w:rsidR="004440F9">
        <w:t xml:space="preserve">the </w:t>
      </w:r>
      <w:r w:rsidR="000D693C">
        <w:t xml:space="preserve">historical employment data, </w:t>
      </w:r>
      <w:r w:rsidR="004440F9" w:rsidRPr="004440F9">
        <w:t>land use projection data</w:t>
      </w:r>
      <w:r w:rsidR="000D693C">
        <w:t>,</w:t>
      </w:r>
      <w:r w:rsidR="004440F9" w:rsidRPr="004440F9">
        <w:t xml:space="preserve"> and population projection data as the primary independent variables.  </w:t>
      </w:r>
      <w:r w:rsidR="004440F9">
        <w:t xml:space="preserve">Under the </w:t>
      </w:r>
      <w:r w:rsidR="004440F9" w:rsidRPr="004440F9">
        <w:t xml:space="preserve">second approach the projection </w:t>
      </w:r>
      <w:r w:rsidR="004440F9">
        <w:t xml:space="preserve">was determined </w:t>
      </w:r>
      <w:r w:rsidR="004440F9" w:rsidRPr="004440F9">
        <w:t>by considering the said independent variables, as well as the 1-year lagged employment time series data. The main idea of this was to incorporate the latest trend of the employment into the projection. These two approaches were modelled in such a way that the trivial model is selected if all the non-trivial model</w:t>
      </w:r>
      <w:r w:rsidR="000D693C">
        <w:t>s</w:t>
      </w:r>
      <w:r w:rsidR="004440F9" w:rsidRPr="004440F9">
        <w:t xml:space="preserve"> fails the p-value test. To consider a non-trivial model in these cases, we implemented </w:t>
      </w:r>
      <w:r w:rsidR="00D42E4E">
        <w:t>a</w:t>
      </w:r>
      <w:r w:rsidR="004440F9" w:rsidRPr="004440F9">
        <w:t xml:space="preserve"> third approach in which the model picks the </w:t>
      </w:r>
      <w:r w:rsidR="000D693C">
        <w:t>projection series</w:t>
      </w:r>
      <w:r w:rsidR="004440F9" w:rsidRPr="004440F9">
        <w:t xml:space="preserve"> with the “best possible” p-value.</w:t>
      </w:r>
    </w:p>
    <w:p w14:paraId="5EE73033" w14:textId="7F02131E" w:rsidR="00080132" w:rsidRDefault="00080132" w:rsidP="006475DF">
      <w:r w:rsidRPr="0045131F">
        <w:t>Ultimately, the selection of the model depends on reviewing the p-values.  Over 8</w:t>
      </w:r>
      <w:r>
        <w:t>4</w:t>
      </w:r>
      <w:r w:rsidRPr="0045131F">
        <w:t>% of the projection series (6,954 projection series (no</w:t>
      </w:r>
      <w:r w:rsidR="000D693C">
        <w:t>n-</w:t>
      </w:r>
      <w:r w:rsidRPr="0045131F">
        <w:t xml:space="preserve">zero SA2 x 1-Digit ANZSIC combinations) each covering </w:t>
      </w:r>
      <w:r>
        <w:t>5</w:t>
      </w:r>
      <w:r w:rsidRPr="0045131F">
        <w:t xml:space="preserve">0 years (2018 to 2068) were generated from selection of one of </w:t>
      </w:r>
      <w:r>
        <w:t>the</w:t>
      </w:r>
      <w:r w:rsidRPr="0045131F">
        <w:t xml:space="preserve"> three </w:t>
      </w:r>
      <w:r>
        <w:t xml:space="preserve">regression </w:t>
      </w:r>
      <w:r w:rsidRPr="0045131F">
        <w:t xml:space="preserve">models.  The remaining 17% of projection series, which performed poorly (as defined by the p-values) were generated using several </w:t>
      </w:r>
      <w:r w:rsidRPr="0045131F">
        <w:rPr>
          <w:i/>
          <w:iCs/>
        </w:rPr>
        <w:t>ad hoc</w:t>
      </w:r>
      <w:r w:rsidRPr="0045131F">
        <w:t xml:space="preserve"> models. In reviewing these poorer performing projections, we note these generally occur where significant levels of fluctuation in historical employment year-to-year from 2006 to 2020 – thus making any projection </w:t>
      </w:r>
      <w:r w:rsidR="000D693C">
        <w:t>difficult</w:t>
      </w:r>
      <w:r w:rsidRPr="0045131F">
        <w:t>. In these cases, we applied one of four models to set the projection</w:t>
      </w:r>
      <w:r>
        <w:t xml:space="preserve"> series (16% of projection series)</w:t>
      </w:r>
      <w:r w:rsidRPr="0045131F">
        <w:t>: (1) set the projection values to the last year of known employment (2020) (9%)</w:t>
      </w:r>
      <w:r>
        <w:t>,</w:t>
      </w:r>
      <w:r w:rsidRPr="0045131F">
        <w:t xml:space="preserve"> (2) index the projection values to the average of the last four years of known employment (2017 to 2020) (4%)</w:t>
      </w:r>
      <w:r>
        <w:t>,</w:t>
      </w:r>
      <w:r w:rsidRPr="0045131F">
        <w:t xml:space="preserve"> (3) index growth to population growth at the TA level (1%), and (4) index growth of the industry growth rate as generated from the regional-level WISE model (2%).</w:t>
      </w:r>
    </w:p>
    <w:p w14:paraId="5FB739CF" w14:textId="77777777" w:rsidR="003D5A61" w:rsidRDefault="003D5A61" w:rsidP="003D5A61">
      <w:pPr>
        <w:pStyle w:val="Heading1"/>
      </w:pPr>
      <w:bookmarkStart w:id="7" w:name="_Toc70694884"/>
      <w:r>
        <w:lastRenderedPageBreak/>
        <w:t>Regional Level Commentary</w:t>
      </w:r>
      <w:bookmarkEnd w:id="7"/>
    </w:p>
    <w:p w14:paraId="1331AF9D" w14:textId="7E49D169" w:rsidR="003D5A61" w:rsidRPr="00AC2310" w:rsidRDefault="003D5A61" w:rsidP="003D5A61">
      <w:r>
        <w:rPr>
          <w:noProof/>
        </w:rPr>
        <w:t>In this chapter, we dicuss the regional level economic projections</w:t>
      </w:r>
      <w:r w:rsidR="000D1D5D">
        <w:rPr>
          <w:noProof/>
        </w:rPr>
        <w:t xml:space="preserve"> under a high growth scenario (ie. as based on high population and </w:t>
      </w:r>
      <w:r w:rsidR="008077B9">
        <w:rPr>
          <w:noProof/>
        </w:rPr>
        <w:t xml:space="preserve">employment growth).  </w:t>
      </w:r>
      <w:r w:rsidR="000D693C">
        <w:rPr>
          <w:noProof/>
        </w:rPr>
        <w:t>W</w:t>
      </w:r>
      <w:r w:rsidR="008077B9" w:rsidRPr="008077B9">
        <w:rPr>
          <w:noProof/>
        </w:rPr>
        <w:t xml:space="preserve">e use the high </w:t>
      </w:r>
      <w:r w:rsidR="000D693C">
        <w:rPr>
          <w:noProof/>
        </w:rPr>
        <w:t xml:space="preserve">growht </w:t>
      </w:r>
      <w:r w:rsidR="008077B9" w:rsidRPr="008077B9">
        <w:rPr>
          <w:noProof/>
        </w:rPr>
        <w:t>projection as an exemplar. Looking back at previous projections, the high projection series has performed best in describing growth over the preceding 10 years.</w:t>
      </w:r>
      <w:r w:rsidR="000D693C">
        <w:rPr>
          <w:noProof/>
        </w:rPr>
        <w:t xml:space="preserve"> We note however that this was a period of extraordinary growth </w:t>
      </w:r>
      <w:r w:rsidR="00D51C2C">
        <w:rPr>
          <w:noProof/>
        </w:rPr>
        <w:t xml:space="preserve">in </w:t>
      </w:r>
      <w:r w:rsidR="000D693C">
        <w:rPr>
          <w:noProof/>
        </w:rPr>
        <w:t xml:space="preserve">population and economic growth </w:t>
      </w:r>
      <w:r w:rsidR="00D51C2C">
        <w:rPr>
          <w:noProof/>
        </w:rPr>
        <w:t xml:space="preserve">terms </w:t>
      </w:r>
      <w:r w:rsidR="000D693C">
        <w:rPr>
          <w:noProof/>
        </w:rPr>
        <w:t>in New Zealand’s history.</w:t>
      </w:r>
    </w:p>
    <w:p w14:paraId="742AE5B6" w14:textId="77777777" w:rsidR="003D5A61" w:rsidRDefault="003D5A61" w:rsidP="003D5A61">
      <w:pPr>
        <w:pStyle w:val="Heading2"/>
      </w:pPr>
      <w:bookmarkStart w:id="8" w:name="_Toc70694885"/>
      <w:bookmarkStart w:id="9" w:name="_Toc403733068"/>
      <w:r>
        <w:t>Employment</w:t>
      </w:r>
      <w:bookmarkEnd w:id="8"/>
    </w:p>
    <w:bookmarkEnd w:id="9"/>
    <w:p w14:paraId="2CBB627E" w14:textId="3510F600" w:rsidR="003D5A61" w:rsidRDefault="003D5A61" w:rsidP="003D5A61">
      <w:pPr>
        <w:rPr>
          <w:noProof/>
        </w:rPr>
      </w:pPr>
      <w:r w:rsidRPr="00BE40F3">
        <w:rPr>
          <w:noProof/>
        </w:rPr>
        <w:t xml:space="preserve">In 2018, there were 226,681 people employed in Waikato Region. </w:t>
      </w:r>
      <w:r>
        <w:rPr>
          <w:noProof/>
        </w:rPr>
        <w:t>I</w:t>
      </w:r>
      <w:r w:rsidRPr="00BE40F3">
        <w:rPr>
          <w:noProof/>
        </w:rPr>
        <w:t>t is projected to increase to 2</w:t>
      </w:r>
      <w:r w:rsidR="00694745">
        <w:rPr>
          <w:noProof/>
        </w:rPr>
        <w:t>9</w:t>
      </w:r>
      <w:r w:rsidRPr="00BE40F3">
        <w:rPr>
          <w:noProof/>
        </w:rPr>
        <w:t>9,864 MECs</w:t>
      </w:r>
      <w:r>
        <w:rPr>
          <w:noProof/>
        </w:rPr>
        <w:t xml:space="preserve"> by 2038. By 2068, the figure is projected to be </w:t>
      </w:r>
      <w:r w:rsidRPr="00BE40F3">
        <w:rPr>
          <w:noProof/>
        </w:rPr>
        <w:t>363,978 MECs</w:t>
      </w:r>
      <w:r>
        <w:rPr>
          <w:noProof/>
        </w:rPr>
        <w:t xml:space="preserve">. From 2018, this is </w:t>
      </w:r>
      <w:r w:rsidRPr="00BE40F3">
        <w:rPr>
          <w:noProof/>
        </w:rPr>
        <w:t>137,298</w:t>
      </w:r>
      <w:r>
        <w:rPr>
          <w:noProof/>
        </w:rPr>
        <w:t xml:space="preserve"> additional MECs or </w:t>
      </w:r>
      <w:r w:rsidRPr="00BE40F3">
        <w:rPr>
          <w:noProof/>
        </w:rPr>
        <w:t>60.6%</w:t>
      </w:r>
      <w:r>
        <w:rPr>
          <w:noProof/>
        </w:rPr>
        <w:t xml:space="preserve"> growth.</w:t>
      </w:r>
    </w:p>
    <w:p w14:paraId="2BBE3A7D" w14:textId="584ACF67" w:rsidR="003D5A61" w:rsidRDefault="003D5A61" w:rsidP="003D5A61">
      <w:pPr>
        <w:rPr>
          <w:noProof/>
        </w:rPr>
      </w:pPr>
      <w:r w:rsidRPr="00BE40F3">
        <w:rPr>
          <w:noProof/>
        </w:rPr>
        <w:t xml:space="preserve">Employment projections in the </w:t>
      </w:r>
      <w:r w:rsidRPr="00B37DD4">
        <w:rPr>
          <w:noProof/>
        </w:rPr>
        <w:t xml:space="preserve">nineteen ANZSIC industries (excluding Owner Occupied Dwellings) for Waikato Region are shown in Figure 2. </w:t>
      </w:r>
      <w:r>
        <w:rPr>
          <w:noProof/>
        </w:rPr>
        <w:t xml:space="preserve">In 2018, </w:t>
      </w:r>
      <w:r w:rsidRPr="00B37DD4">
        <w:rPr>
          <w:noProof/>
        </w:rPr>
        <w:t xml:space="preserve">Agriculture, Forestry and Fishing is the </w:t>
      </w:r>
      <w:r>
        <w:rPr>
          <w:noProof/>
        </w:rPr>
        <w:t xml:space="preserve">dominant </w:t>
      </w:r>
      <w:r w:rsidRPr="00B37DD4">
        <w:rPr>
          <w:noProof/>
        </w:rPr>
        <w:t>industry</w:t>
      </w:r>
      <w:r>
        <w:rPr>
          <w:noProof/>
        </w:rPr>
        <w:t xml:space="preserve"> in terms of employment</w:t>
      </w:r>
      <w:r w:rsidRPr="00B37DD4">
        <w:rPr>
          <w:noProof/>
        </w:rPr>
        <w:t xml:space="preserve"> 25,267 MEC</w:t>
      </w:r>
      <w:r>
        <w:rPr>
          <w:noProof/>
        </w:rPr>
        <w:t>s</w:t>
      </w:r>
      <w:r w:rsidRPr="00B37DD4">
        <w:rPr>
          <w:noProof/>
        </w:rPr>
        <w:t xml:space="preserve"> or 11.1% of the Waikato Region workforce</w:t>
      </w:r>
      <w:r>
        <w:rPr>
          <w:noProof/>
        </w:rPr>
        <w:t>. This is</w:t>
      </w:r>
      <w:r w:rsidRPr="00B37DD4">
        <w:rPr>
          <w:noProof/>
        </w:rPr>
        <w:t xml:space="preserve"> followed by Manufacturing </w:t>
      </w:r>
      <w:r>
        <w:rPr>
          <w:noProof/>
        </w:rPr>
        <w:t xml:space="preserve">with </w:t>
      </w:r>
      <w:r w:rsidRPr="00B37DD4">
        <w:rPr>
          <w:noProof/>
        </w:rPr>
        <w:t>11.1% of total</w:t>
      </w:r>
      <w:r w:rsidR="00682C41">
        <w:rPr>
          <w:noProof/>
        </w:rPr>
        <w:t xml:space="preserve"> employment</w:t>
      </w:r>
      <w:r w:rsidRPr="00B37DD4">
        <w:rPr>
          <w:noProof/>
        </w:rPr>
        <w:t>. In 2068, the</w:t>
      </w:r>
      <w:r>
        <w:rPr>
          <w:noProof/>
        </w:rPr>
        <w:t xml:space="preserve"> </w:t>
      </w:r>
      <w:r w:rsidRPr="00B37DD4">
        <w:rPr>
          <w:noProof/>
        </w:rPr>
        <w:t>two industries with the highest numbers employed for the region are Manufacturing</w:t>
      </w:r>
      <w:r w:rsidRPr="00025C48">
        <w:rPr>
          <w:noProof/>
        </w:rPr>
        <w:t xml:space="preserve"> and </w:t>
      </w:r>
      <w:r>
        <w:rPr>
          <w:noProof/>
        </w:rPr>
        <w:t xml:space="preserve">Construction with the relative shares of total regional employment of </w:t>
      </w:r>
      <w:r w:rsidRPr="00025C48">
        <w:rPr>
          <w:noProof/>
        </w:rPr>
        <w:t>11.</w:t>
      </w:r>
      <w:r>
        <w:rPr>
          <w:noProof/>
        </w:rPr>
        <w:t xml:space="preserve">6% and </w:t>
      </w:r>
      <w:r w:rsidRPr="00025C48">
        <w:rPr>
          <w:noProof/>
        </w:rPr>
        <w:t>10.1%,</w:t>
      </w:r>
      <w:r>
        <w:rPr>
          <w:noProof/>
        </w:rPr>
        <w:t xml:space="preserve"> respectively. </w:t>
      </w:r>
      <w:r w:rsidRPr="00025C48">
        <w:rPr>
          <w:noProof/>
        </w:rPr>
        <w:t>Financial and Insurance Services</w:t>
      </w:r>
      <w:r>
        <w:rPr>
          <w:noProof/>
        </w:rPr>
        <w:t xml:space="preserve"> has the highest projected growth rate in employment, with </w:t>
      </w:r>
      <w:r w:rsidRPr="001845F7">
        <w:rPr>
          <w:noProof/>
        </w:rPr>
        <w:t>118%</w:t>
      </w:r>
      <w:r>
        <w:rPr>
          <w:noProof/>
        </w:rPr>
        <w:t xml:space="preserve"> more workers employed in the industry by 2068 compared to 2018. In the projection scenario considered for this report, there are no industries that are projected to decline in the number of people employed from the 2018 base.</w:t>
      </w:r>
    </w:p>
    <w:p w14:paraId="3BD6A886" w14:textId="77777777" w:rsidR="003D5A61" w:rsidRDefault="003D5A61" w:rsidP="003D5A61">
      <w:pPr>
        <w:pStyle w:val="Heading2"/>
      </w:pPr>
      <w:bookmarkStart w:id="10" w:name="_Toc70694886"/>
      <w:r>
        <w:t>Value Added</w:t>
      </w:r>
      <w:bookmarkEnd w:id="10"/>
    </w:p>
    <w:p w14:paraId="350BF1B9" w14:textId="657A88B4" w:rsidR="003D5A61" w:rsidRDefault="003D5A61" w:rsidP="003D5A61">
      <w:pPr>
        <w:rPr>
          <w:noProof/>
        </w:rPr>
      </w:pPr>
      <w:r>
        <w:rPr>
          <w:noProof/>
        </w:rPr>
        <w:t xml:space="preserve">Value added for Waikato Region was estimated at </w:t>
      </w:r>
      <w:r w:rsidRPr="00E26C93">
        <w:rPr>
          <w:noProof/>
        </w:rPr>
        <w:t>$</w:t>
      </w:r>
      <w:r w:rsidRPr="00E26C93">
        <w:rPr>
          <w:noProof/>
          <w:vertAlign w:val="subscript"/>
        </w:rPr>
        <w:t>2018</w:t>
      </w:r>
      <w:r w:rsidRPr="00E26C93">
        <w:rPr>
          <w:noProof/>
        </w:rPr>
        <w:t>20.2 billion</w:t>
      </w:r>
      <w:r>
        <w:rPr>
          <w:noProof/>
        </w:rPr>
        <w:t xml:space="preserve"> in 2018, and projected to reach </w:t>
      </w:r>
      <w:r w:rsidRPr="00E26C93">
        <w:rPr>
          <w:noProof/>
        </w:rPr>
        <w:t>$</w:t>
      </w:r>
      <w:r w:rsidRPr="00E26C93">
        <w:rPr>
          <w:noProof/>
          <w:vertAlign w:val="subscript"/>
        </w:rPr>
        <w:t>2018</w:t>
      </w:r>
      <w:r w:rsidRPr="00E26C93">
        <w:rPr>
          <w:noProof/>
        </w:rPr>
        <w:t>28.9 billion</w:t>
      </w:r>
      <w:r>
        <w:rPr>
          <w:noProof/>
        </w:rPr>
        <w:t xml:space="preserve"> in 2038 and </w:t>
      </w:r>
      <w:r w:rsidRPr="00582CA6">
        <w:rPr>
          <w:noProof/>
        </w:rPr>
        <w:t>$</w:t>
      </w:r>
      <w:r w:rsidRPr="00582CA6">
        <w:rPr>
          <w:noProof/>
          <w:vertAlign w:val="subscript"/>
        </w:rPr>
        <w:t>2018</w:t>
      </w:r>
      <w:r w:rsidR="000D1D5D">
        <w:rPr>
          <w:noProof/>
        </w:rPr>
        <w:t>42.6</w:t>
      </w:r>
      <w:r w:rsidRPr="00582CA6">
        <w:rPr>
          <w:noProof/>
        </w:rPr>
        <w:t xml:space="preserve"> billion</w:t>
      </w:r>
      <w:r>
        <w:rPr>
          <w:noProof/>
        </w:rPr>
        <w:t xml:space="preserve"> in 2068</w:t>
      </w:r>
      <w:r w:rsidR="00FC6558">
        <w:rPr>
          <w:noProof/>
        </w:rPr>
        <w:t xml:space="preserve"> (including Owner Occupied Dwellings (OODs))</w:t>
      </w:r>
      <w:r>
        <w:rPr>
          <w:noProof/>
        </w:rPr>
        <w:t xml:space="preserve">. This is an increase of </w:t>
      </w:r>
      <w:r w:rsidR="000D1D5D">
        <w:rPr>
          <w:noProof/>
        </w:rPr>
        <w:t>approximately 110</w:t>
      </w:r>
      <w:r w:rsidRPr="00582CA6">
        <w:rPr>
          <w:noProof/>
        </w:rPr>
        <w:t>%</w:t>
      </w:r>
      <w:r>
        <w:rPr>
          <w:noProof/>
        </w:rPr>
        <w:t xml:space="preserve"> by 2068, from 2018 levels.</w:t>
      </w:r>
    </w:p>
    <w:p w14:paraId="26452644" w14:textId="0E7C019F" w:rsidR="003D5A61" w:rsidRPr="0012329F" w:rsidRDefault="003D5A61" w:rsidP="003D5A61">
      <w:pPr>
        <w:rPr>
          <w:noProof/>
        </w:rPr>
        <w:sectPr w:rsidR="003D5A61" w:rsidRPr="0012329F">
          <w:pgSz w:w="11906" w:h="16838"/>
          <w:pgMar w:top="1440" w:right="1440" w:bottom="1440" w:left="1440" w:header="708" w:footer="708" w:gutter="0"/>
          <w:cols w:space="708"/>
          <w:docGrid w:linePitch="360"/>
        </w:sectPr>
      </w:pPr>
      <w:r>
        <w:rPr>
          <w:noProof/>
        </w:rPr>
        <w:t xml:space="preserve">Value added projections in the nineteen ANZSIC industries (excluding </w:t>
      </w:r>
      <w:r w:rsidR="000D1D5D">
        <w:rPr>
          <w:noProof/>
        </w:rPr>
        <w:t>OODs</w:t>
      </w:r>
      <w:r>
        <w:rPr>
          <w:noProof/>
        </w:rPr>
        <w:t xml:space="preserve">) are presented in Figure 3. </w:t>
      </w:r>
      <w:r w:rsidRPr="00575881">
        <w:rPr>
          <w:noProof/>
        </w:rPr>
        <w:t>Manufacturing</w:t>
      </w:r>
      <w:r>
        <w:rPr>
          <w:noProof/>
        </w:rPr>
        <w:t xml:space="preserve"> is the biggest industry (</w:t>
      </w:r>
      <w:r w:rsidRPr="00575881">
        <w:rPr>
          <w:noProof/>
        </w:rPr>
        <w:t>13.3%</w:t>
      </w:r>
      <w:r>
        <w:rPr>
          <w:noProof/>
        </w:rPr>
        <w:t xml:space="preserve"> of total) in terms of value added or contribution to the region’s </w:t>
      </w:r>
      <w:r w:rsidR="0072150F">
        <w:rPr>
          <w:noProof/>
        </w:rPr>
        <w:t>value added</w:t>
      </w:r>
      <w:r>
        <w:rPr>
          <w:noProof/>
        </w:rPr>
        <w:t xml:space="preserve"> </w:t>
      </w:r>
      <w:r w:rsidR="000D1D5D">
        <w:rPr>
          <w:noProof/>
        </w:rPr>
        <w:t xml:space="preserve">(excluding </w:t>
      </w:r>
      <w:r w:rsidR="0072150F">
        <w:rPr>
          <w:noProof/>
        </w:rPr>
        <w:t>OODs</w:t>
      </w:r>
      <w:r w:rsidR="000D1D5D">
        <w:rPr>
          <w:noProof/>
        </w:rPr>
        <w:t xml:space="preserve">) </w:t>
      </w:r>
      <w:r>
        <w:rPr>
          <w:noProof/>
        </w:rPr>
        <w:t xml:space="preserve">in 2068. The value added of the industry is projected to grow from </w:t>
      </w:r>
      <w:r w:rsidRPr="00575881">
        <w:rPr>
          <w:noProof/>
        </w:rPr>
        <w:t>$</w:t>
      </w:r>
      <w:r w:rsidRPr="00575881">
        <w:rPr>
          <w:noProof/>
          <w:vertAlign w:val="subscript"/>
        </w:rPr>
        <w:t>2018</w:t>
      </w:r>
      <w:r>
        <w:rPr>
          <w:noProof/>
        </w:rPr>
        <w:t>2</w:t>
      </w:r>
      <w:r w:rsidRPr="00575881">
        <w:rPr>
          <w:noProof/>
        </w:rPr>
        <w:t>.</w:t>
      </w:r>
      <w:r>
        <w:rPr>
          <w:noProof/>
        </w:rPr>
        <w:t>6</w:t>
      </w:r>
      <w:r w:rsidRPr="00575881">
        <w:rPr>
          <w:noProof/>
        </w:rPr>
        <w:t xml:space="preserve"> billion</w:t>
      </w:r>
      <w:r>
        <w:rPr>
          <w:noProof/>
        </w:rPr>
        <w:t xml:space="preserve"> to </w:t>
      </w:r>
      <w:r w:rsidRPr="00443B65">
        <w:rPr>
          <w:noProof/>
        </w:rPr>
        <w:t>$</w:t>
      </w:r>
      <w:r w:rsidRPr="00443B65">
        <w:rPr>
          <w:noProof/>
          <w:vertAlign w:val="subscript"/>
        </w:rPr>
        <w:t>2018</w:t>
      </w:r>
      <w:r w:rsidRPr="00443B65">
        <w:rPr>
          <w:noProof/>
        </w:rPr>
        <w:t>5.</w:t>
      </w:r>
      <w:r w:rsidR="00694745">
        <w:rPr>
          <w:noProof/>
        </w:rPr>
        <w:t>3</w:t>
      </w:r>
      <w:r w:rsidRPr="00443B65">
        <w:rPr>
          <w:noProof/>
        </w:rPr>
        <w:t xml:space="preserve"> billion</w:t>
      </w:r>
      <w:r>
        <w:rPr>
          <w:noProof/>
        </w:rPr>
        <w:t xml:space="preserve"> in the 50-year period. The second biggest industry in 2068 is projected to be </w:t>
      </w:r>
      <w:r w:rsidRPr="00443B65">
        <w:rPr>
          <w:noProof/>
        </w:rPr>
        <w:t xml:space="preserve">Agriculture, </w:t>
      </w:r>
      <w:r>
        <w:rPr>
          <w:noProof/>
        </w:rPr>
        <w:t>F</w:t>
      </w:r>
      <w:r w:rsidRPr="00443B65">
        <w:rPr>
          <w:noProof/>
        </w:rPr>
        <w:t xml:space="preserve">oresty and </w:t>
      </w:r>
      <w:r>
        <w:rPr>
          <w:noProof/>
        </w:rPr>
        <w:t>F</w:t>
      </w:r>
      <w:r w:rsidRPr="00443B65">
        <w:rPr>
          <w:noProof/>
        </w:rPr>
        <w:t>ishing</w:t>
      </w:r>
      <w:r>
        <w:rPr>
          <w:noProof/>
        </w:rPr>
        <w:t xml:space="preserve">. This industry starts out as the biggest industry with </w:t>
      </w:r>
      <w:r w:rsidRPr="00443B65">
        <w:rPr>
          <w:noProof/>
        </w:rPr>
        <w:t>$</w:t>
      </w:r>
      <w:r w:rsidRPr="00443B65">
        <w:rPr>
          <w:noProof/>
          <w:vertAlign w:val="subscript"/>
        </w:rPr>
        <w:t>2018</w:t>
      </w:r>
      <w:r w:rsidRPr="00443B65">
        <w:rPr>
          <w:noProof/>
        </w:rPr>
        <w:t>2.8 billion</w:t>
      </w:r>
      <w:r>
        <w:rPr>
          <w:noProof/>
        </w:rPr>
        <w:t xml:space="preserve"> and is projected to be </w:t>
      </w:r>
      <w:r w:rsidRPr="00443B65">
        <w:rPr>
          <w:noProof/>
        </w:rPr>
        <w:t>$</w:t>
      </w:r>
      <w:r w:rsidRPr="00443B65">
        <w:rPr>
          <w:noProof/>
          <w:vertAlign w:val="subscript"/>
        </w:rPr>
        <w:t>2018</w:t>
      </w:r>
      <w:r w:rsidRPr="00443B65">
        <w:rPr>
          <w:noProof/>
        </w:rPr>
        <w:t>4.7 billion</w:t>
      </w:r>
      <w:r>
        <w:rPr>
          <w:noProof/>
        </w:rPr>
        <w:t xml:space="preserve"> or </w:t>
      </w:r>
      <w:r w:rsidRPr="00443B65">
        <w:rPr>
          <w:noProof/>
        </w:rPr>
        <w:t>11.9%</w:t>
      </w:r>
      <w:r>
        <w:rPr>
          <w:noProof/>
        </w:rPr>
        <w:t xml:space="preserve"> of region total</w:t>
      </w:r>
      <w:r w:rsidR="000D1D5D">
        <w:rPr>
          <w:noProof/>
        </w:rPr>
        <w:t xml:space="preserve"> (excluding OODs)</w:t>
      </w:r>
      <w:r>
        <w:rPr>
          <w:noProof/>
        </w:rPr>
        <w:t xml:space="preserve">. </w:t>
      </w:r>
      <w:r w:rsidRPr="002C34F9">
        <w:rPr>
          <w:noProof/>
        </w:rPr>
        <w:t>Construction</w:t>
      </w:r>
      <w:r>
        <w:rPr>
          <w:noProof/>
        </w:rPr>
        <w:t xml:space="preserve"> is the third largest industry in value added terms in 2068 with </w:t>
      </w:r>
      <w:r w:rsidRPr="002C34F9">
        <w:rPr>
          <w:noProof/>
        </w:rPr>
        <w:t>$</w:t>
      </w:r>
      <w:r w:rsidRPr="002C34F9">
        <w:rPr>
          <w:noProof/>
          <w:vertAlign w:val="subscript"/>
        </w:rPr>
        <w:t>2018</w:t>
      </w:r>
      <w:r w:rsidRPr="002C34F9">
        <w:rPr>
          <w:noProof/>
        </w:rPr>
        <w:t>3.5 billion</w:t>
      </w:r>
      <w:r>
        <w:rPr>
          <w:noProof/>
        </w:rPr>
        <w:t xml:space="preserve"> contributing 8.8% of the region total</w:t>
      </w:r>
      <w:r w:rsidR="000D1D5D">
        <w:rPr>
          <w:noProof/>
        </w:rPr>
        <w:t xml:space="preserve"> (excluding OODs)</w:t>
      </w:r>
      <w:r>
        <w:rPr>
          <w:noProof/>
        </w:rPr>
        <w:t xml:space="preserve">, growing from </w:t>
      </w:r>
      <w:r w:rsidRPr="002C34F9">
        <w:rPr>
          <w:noProof/>
        </w:rPr>
        <w:t>$</w:t>
      </w:r>
      <w:r w:rsidRPr="002C34F9">
        <w:rPr>
          <w:noProof/>
          <w:vertAlign w:val="subscript"/>
        </w:rPr>
        <w:t>2018</w:t>
      </w:r>
      <w:r w:rsidRPr="002C34F9">
        <w:rPr>
          <w:noProof/>
        </w:rPr>
        <w:t>1.6 billion</w:t>
      </w:r>
      <w:r>
        <w:rPr>
          <w:noProof/>
        </w:rPr>
        <w:t xml:space="preserve"> in 2018. It should be noted that the value added of all industries are projected to grow.</w:t>
      </w:r>
    </w:p>
    <w:p w14:paraId="45D9D34C" w14:textId="05EFA7CB" w:rsidR="003D5A61" w:rsidRDefault="003D5A61" w:rsidP="003D5A61">
      <w:pPr>
        <w:rPr>
          <w:b/>
          <w:noProof/>
        </w:rPr>
      </w:pPr>
      <w:r w:rsidRPr="004A4D7D">
        <w:rPr>
          <w:b/>
          <w:noProof/>
        </w:rPr>
        <w:lastRenderedPageBreak/>
        <w:t>Figure</w:t>
      </w:r>
      <w:r>
        <w:rPr>
          <w:b/>
          <w:noProof/>
        </w:rPr>
        <w:t xml:space="preserve"> 2 Waikato Region Employment</w:t>
      </w:r>
      <w:r w:rsidR="00FC6558">
        <w:rPr>
          <w:b/>
          <w:noProof/>
        </w:rPr>
        <w:t xml:space="preserve"> under a High Growth Scenario</w:t>
      </w:r>
      <w:r>
        <w:rPr>
          <w:b/>
          <w:noProof/>
        </w:rPr>
        <w:t>, 2018 to 2068</w:t>
      </w:r>
    </w:p>
    <w:p w14:paraId="508BE738" w14:textId="0AEF6D07" w:rsidR="003D5A61" w:rsidRDefault="003D5A61" w:rsidP="003D5A61">
      <w:pPr>
        <w:rPr>
          <w:b/>
          <w:noProof/>
        </w:rPr>
      </w:pPr>
      <w:r>
        <w:rPr>
          <w:b/>
          <w:noProof/>
        </w:rPr>
        <w:drawing>
          <wp:inline distT="0" distB="0" distL="0" distR="0" wp14:anchorId="49E0EC47" wp14:editId="54D5367C">
            <wp:extent cx="8858250" cy="47053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858250" cy="4705350"/>
                    </a:xfrm>
                    <a:prstGeom prst="rect">
                      <a:avLst/>
                    </a:prstGeom>
                    <a:noFill/>
                    <a:ln>
                      <a:noFill/>
                    </a:ln>
                  </pic:spPr>
                </pic:pic>
              </a:graphicData>
            </a:graphic>
          </wp:inline>
        </w:drawing>
      </w:r>
      <w:r>
        <w:rPr>
          <w:sz w:val="18"/>
          <w:szCs w:val="18"/>
        </w:rPr>
        <w:t xml:space="preserve">Note: The employment figures for 2018 through to 2020 are actuals derived from </w:t>
      </w:r>
      <w:proofErr w:type="spellStart"/>
      <w:r>
        <w:rPr>
          <w:sz w:val="18"/>
          <w:szCs w:val="18"/>
        </w:rPr>
        <w:t>Stat</w:t>
      </w:r>
      <w:r w:rsidR="00981F9D">
        <w:rPr>
          <w:sz w:val="18"/>
          <w:szCs w:val="18"/>
        </w:rPr>
        <w:t>sN</w:t>
      </w:r>
      <w:r>
        <w:rPr>
          <w:sz w:val="18"/>
          <w:szCs w:val="18"/>
        </w:rPr>
        <w:t>Z’s</w:t>
      </w:r>
      <w:proofErr w:type="spellEnd"/>
      <w:r>
        <w:rPr>
          <w:sz w:val="18"/>
          <w:szCs w:val="18"/>
        </w:rPr>
        <w:t xml:space="preserve"> 2020 Business Directory.</w:t>
      </w:r>
    </w:p>
    <w:p w14:paraId="22323CAB" w14:textId="77777777" w:rsidR="003D5A61" w:rsidRDefault="003D5A61" w:rsidP="003D5A61">
      <w:pPr>
        <w:rPr>
          <w:b/>
          <w:noProof/>
        </w:rPr>
      </w:pPr>
    </w:p>
    <w:p w14:paraId="7C4E201E" w14:textId="67FB9787" w:rsidR="003D5A61" w:rsidRDefault="003D5A61" w:rsidP="003D5A61">
      <w:pPr>
        <w:rPr>
          <w:b/>
          <w:noProof/>
        </w:rPr>
      </w:pPr>
      <w:r>
        <w:rPr>
          <w:b/>
          <w:noProof/>
        </w:rPr>
        <w:lastRenderedPageBreak/>
        <w:t>Figure 3</w:t>
      </w:r>
      <w:r w:rsidRPr="00265625">
        <w:rPr>
          <w:b/>
          <w:noProof/>
        </w:rPr>
        <w:t xml:space="preserve"> </w:t>
      </w:r>
      <w:r>
        <w:rPr>
          <w:b/>
          <w:noProof/>
        </w:rPr>
        <w:t>Waikato Region Value Added $</w:t>
      </w:r>
      <w:r>
        <w:rPr>
          <w:b/>
          <w:noProof/>
          <w:vertAlign w:val="subscript"/>
        </w:rPr>
        <w:t>2018</w:t>
      </w:r>
      <w:r>
        <w:rPr>
          <w:b/>
          <w:noProof/>
        </w:rPr>
        <w:t>million</w:t>
      </w:r>
      <w:r w:rsidR="00FC6558">
        <w:rPr>
          <w:b/>
          <w:noProof/>
        </w:rPr>
        <w:t xml:space="preserve"> under a High Growth Scenario</w:t>
      </w:r>
      <w:r>
        <w:rPr>
          <w:b/>
          <w:noProof/>
        </w:rPr>
        <w:t>, 2018 to 2068</w:t>
      </w:r>
    </w:p>
    <w:p w14:paraId="5C332159" w14:textId="7E3A4AFE" w:rsidR="003D5A61" w:rsidRPr="00A50748" w:rsidRDefault="003D5A61" w:rsidP="003D5A61">
      <w:pPr>
        <w:rPr>
          <w:b/>
          <w:noProof/>
        </w:rPr>
      </w:pPr>
      <w:r>
        <w:rPr>
          <w:b/>
          <w:noProof/>
        </w:rPr>
        <w:drawing>
          <wp:inline distT="0" distB="0" distL="0" distR="0" wp14:anchorId="129812F5" wp14:editId="6F1C07A9">
            <wp:extent cx="8858250" cy="47053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858250" cy="4705350"/>
                    </a:xfrm>
                    <a:prstGeom prst="rect">
                      <a:avLst/>
                    </a:prstGeom>
                    <a:noFill/>
                    <a:ln>
                      <a:noFill/>
                    </a:ln>
                  </pic:spPr>
                </pic:pic>
              </a:graphicData>
            </a:graphic>
          </wp:inline>
        </w:drawing>
      </w:r>
      <w:r>
        <w:rPr>
          <w:sz w:val="18"/>
          <w:szCs w:val="18"/>
        </w:rPr>
        <w:t xml:space="preserve">Note: The </w:t>
      </w:r>
      <w:proofErr w:type="gramStart"/>
      <w:r>
        <w:rPr>
          <w:sz w:val="18"/>
          <w:szCs w:val="18"/>
        </w:rPr>
        <w:t>value added</w:t>
      </w:r>
      <w:proofErr w:type="gramEnd"/>
      <w:r>
        <w:rPr>
          <w:sz w:val="18"/>
          <w:szCs w:val="18"/>
        </w:rPr>
        <w:t xml:space="preserve"> figures for 2018 to 2020 are estimates based on ME</w:t>
      </w:r>
      <w:r w:rsidR="00FC6558">
        <w:rPr>
          <w:sz w:val="18"/>
          <w:szCs w:val="18"/>
        </w:rPr>
        <w:t>Research</w:t>
      </w:r>
      <w:r>
        <w:rPr>
          <w:sz w:val="18"/>
          <w:szCs w:val="18"/>
        </w:rPr>
        <w:t xml:space="preserve">’s multi-regional input-output table for the financial year ending March 2018 as derived from the latest available </w:t>
      </w:r>
      <w:r w:rsidR="00981F9D">
        <w:rPr>
          <w:sz w:val="18"/>
          <w:szCs w:val="18"/>
        </w:rPr>
        <w:t>StatsNZ</w:t>
      </w:r>
      <w:r>
        <w:rPr>
          <w:sz w:val="18"/>
          <w:szCs w:val="18"/>
        </w:rPr>
        <w:t xml:space="preserve"> Inter-Industry Study of the New Zealand economy.</w:t>
      </w:r>
    </w:p>
    <w:p w14:paraId="30933650" w14:textId="77777777" w:rsidR="003D5A61" w:rsidRPr="007F1BE6" w:rsidRDefault="003D5A61" w:rsidP="003D5A61">
      <w:pPr>
        <w:rPr>
          <w:sz w:val="18"/>
          <w:szCs w:val="18"/>
        </w:rPr>
        <w:sectPr w:rsidR="003D5A61" w:rsidRPr="007F1BE6" w:rsidSect="008C5E60">
          <w:pgSz w:w="16838" w:h="11906" w:orient="landscape"/>
          <w:pgMar w:top="1440" w:right="1440" w:bottom="1440" w:left="1440" w:header="708" w:footer="708" w:gutter="0"/>
          <w:cols w:space="708"/>
          <w:docGrid w:linePitch="360"/>
        </w:sectPr>
      </w:pPr>
    </w:p>
    <w:p w14:paraId="1A9772E2" w14:textId="77777777" w:rsidR="003D5A61" w:rsidRDefault="003D5A61" w:rsidP="003D5A61">
      <w:pPr>
        <w:pStyle w:val="Heading1"/>
      </w:pPr>
      <w:bookmarkStart w:id="11" w:name="_Toc70694887"/>
      <w:bookmarkStart w:id="12" w:name="_Toc403733071"/>
      <w:r>
        <w:lastRenderedPageBreak/>
        <w:t>TA Level Commentary</w:t>
      </w:r>
      <w:bookmarkEnd w:id="11"/>
    </w:p>
    <w:p w14:paraId="3F1EF715" w14:textId="18612FDF" w:rsidR="003D5A61" w:rsidRPr="00A970C6" w:rsidRDefault="003D5A61" w:rsidP="003D5A61">
      <w:r>
        <w:rPr>
          <w:noProof/>
        </w:rPr>
        <w:t>In this chapter, we di</w:t>
      </w:r>
      <w:r w:rsidR="008077B9">
        <w:rPr>
          <w:noProof/>
        </w:rPr>
        <w:t>s</w:t>
      </w:r>
      <w:r>
        <w:rPr>
          <w:noProof/>
        </w:rPr>
        <w:t xml:space="preserve">cuss the </w:t>
      </w:r>
      <w:r w:rsidR="00D23C33">
        <w:rPr>
          <w:noProof/>
        </w:rPr>
        <w:t>TA</w:t>
      </w:r>
      <w:r>
        <w:rPr>
          <w:noProof/>
        </w:rPr>
        <w:t xml:space="preserve"> level economic projections. We also present some projections at the SA2 level as an illustration of the level of detail for which the results are available.  The Waikato Regional Council, along with all of its constituent </w:t>
      </w:r>
      <w:r w:rsidR="00D23C33">
        <w:rPr>
          <w:noProof/>
        </w:rPr>
        <w:t>TAs</w:t>
      </w:r>
      <w:r>
        <w:rPr>
          <w:noProof/>
        </w:rPr>
        <w:t>, have been provided with a spreadsheet version of the results which may be queried in detail.</w:t>
      </w:r>
    </w:p>
    <w:p w14:paraId="21F9B633" w14:textId="77777777" w:rsidR="003D5A61" w:rsidRDefault="003D5A61" w:rsidP="003D5A61">
      <w:pPr>
        <w:pStyle w:val="Heading2"/>
      </w:pPr>
      <w:bookmarkStart w:id="13" w:name="_Toc70694888"/>
      <w:bookmarkEnd w:id="12"/>
      <w:r>
        <w:t>Employment</w:t>
      </w:r>
      <w:bookmarkEnd w:id="13"/>
    </w:p>
    <w:p w14:paraId="03CF86A4" w14:textId="0E2B6D96" w:rsidR="003D5A61" w:rsidRDefault="003D5A61" w:rsidP="003D5A61">
      <w:pPr>
        <w:rPr>
          <w:b/>
        </w:rPr>
      </w:pPr>
      <w:r w:rsidRPr="008C5E60">
        <w:t xml:space="preserve">Table </w:t>
      </w:r>
      <w:r>
        <w:t xml:space="preserve">1 shows the numbers of MECs in each </w:t>
      </w:r>
      <w:r w:rsidR="00D23C33">
        <w:t>TA</w:t>
      </w:r>
      <w:r>
        <w:t>, with projected changes from 2018 to 2038 and 2068, and the compound</w:t>
      </w:r>
      <w:r w:rsidR="00694745">
        <w:t>ed</w:t>
      </w:r>
      <w:r>
        <w:t xml:space="preserve"> annual growth rate for that periods 2018-2038 and 2018-2068. The urban </w:t>
      </w:r>
      <w:r w:rsidRPr="003D3477">
        <w:t>Hamilton City</w:t>
      </w:r>
      <w:r>
        <w:t xml:space="preserve"> is the dominant centre of employment for the region, with over </w:t>
      </w:r>
      <w:r w:rsidRPr="003D3477">
        <w:t>40</w:t>
      </w:r>
      <w:r>
        <w:t xml:space="preserve">% of the region’s employment (MECs). In terms of employment, </w:t>
      </w:r>
      <w:r w:rsidRPr="003D3477">
        <w:t>Hamilton City</w:t>
      </w:r>
      <w:r>
        <w:t xml:space="preserve"> is at least four times larger than </w:t>
      </w:r>
      <w:r w:rsidRPr="003D3477">
        <w:t>Wai</w:t>
      </w:r>
      <w:r>
        <w:t>kato</w:t>
      </w:r>
      <w:r w:rsidRPr="003D3477">
        <w:t xml:space="preserve"> District</w:t>
      </w:r>
      <w:r>
        <w:t xml:space="preserve"> and </w:t>
      </w:r>
      <w:r w:rsidRPr="003D3477">
        <w:t>Wai</w:t>
      </w:r>
      <w:r>
        <w:t>pa</w:t>
      </w:r>
      <w:r w:rsidRPr="003D3477">
        <w:t xml:space="preserve"> District</w:t>
      </w:r>
      <w:r>
        <w:t xml:space="preserve"> which are the second and third largest </w:t>
      </w:r>
      <w:r w:rsidR="00D23C33">
        <w:t>TAs</w:t>
      </w:r>
      <w:r>
        <w:t xml:space="preserve">, respectively. </w:t>
      </w:r>
      <w:r w:rsidRPr="00DF3E65">
        <w:t>Hamilton city</w:t>
      </w:r>
      <w:r>
        <w:t xml:space="preserve"> is projected to have the highest absolute growth in MECs by 2068, with an increase of over </w:t>
      </w:r>
      <w:r w:rsidRPr="00DF3E65">
        <w:t>70,000</w:t>
      </w:r>
      <w:r>
        <w:t xml:space="preserve"> MECs. Of the more rural districts, </w:t>
      </w:r>
      <w:r w:rsidRPr="00E97C4F">
        <w:t>Matamata-Piako District</w:t>
      </w:r>
      <w:r>
        <w:t xml:space="preserve"> is projected to have the biggest growth in employment out to 2068.</w:t>
      </w:r>
    </w:p>
    <w:p w14:paraId="4B6CF953" w14:textId="77777777" w:rsidR="003D5A61" w:rsidRDefault="003D5A61" w:rsidP="003D5A61">
      <w:pPr>
        <w:rPr>
          <w:b/>
          <w:noProof/>
        </w:rPr>
      </w:pPr>
    </w:p>
    <w:p w14:paraId="2EA5C463" w14:textId="77777777" w:rsidR="003D5A61" w:rsidRDefault="003D5A61" w:rsidP="003D5A61">
      <w:pPr>
        <w:rPr>
          <w:b/>
          <w:noProof/>
        </w:rPr>
      </w:pPr>
    </w:p>
    <w:p w14:paraId="286BDEA3" w14:textId="77777777" w:rsidR="003D5A61" w:rsidRDefault="003D5A61" w:rsidP="003D5A61">
      <w:pPr>
        <w:rPr>
          <w:b/>
          <w:noProof/>
        </w:rPr>
      </w:pPr>
    </w:p>
    <w:p w14:paraId="4D48D06E" w14:textId="77777777" w:rsidR="003D5A61" w:rsidRDefault="003D5A61" w:rsidP="003D5A61">
      <w:pPr>
        <w:rPr>
          <w:b/>
          <w:noProof/>
        </w:rPr>
      </w:pPr>
    </w:p>
    <w:p w14:paraId="7D70F528" w14:textId="77777777" w:rsidR="003D5A61" w:rsidRDefault="003D5A61" w:rsidP="003D5A61">
      <w:pPr>
        <w:rPr>
          <w:b/>
          <w:noProof/>
        </w:rPr>
      </w:pPr>
    </w:p>
    <w:p w14:paraId="717A00A1" w14:textId="4FCE7DDE" w:rsidR="003D5A61" w:rsidRDefault="003D5A61" w:rsidP="003D5A61">
      <w:pPr>
        <w:keepNext/>
        <w:spacing w:after="120"/>
        <w:ind w:left="1134" w:hanging="1134"/>
        <w:rPr>
          <w:b/>
        </w:rPr>
      </w:pPr>
      <w:r w:rsidRPr="008C5E60">
        <w:rPr>
          <w:b/>
        </w:rPr>
        <w:lastRenderedPageBreak/>
        <w:t xml:space="preserve">Table </w:t>
      </w:r>
      <w:r>
        <w:rPr>
          <w:b/>
        </w:rPr>
        <w:t xml:space="preserve">1 Total Growth in </w:t>
      </w:r>
      <w:r w:rsidR="00FC6558">
        <w:rPr>
          <w:b/>
        </w:rPr>
        <w:t>E</w:t>
      </w:r>
      <w:r>
        <w:rPr>
          <w:b/>
        </w:rPr>
        <w:t>mployment by Territorial Authority</w:t>
      </w:r>
      <w:r w:rsidR="00FC6558">
        <w:rPr>
          <w:b/>
        </w:rPr>
        <w:t xml:space="preserve"> Under a High Growth Scenario</w:t>
      </w:r>
      <w:r>
        <w:rPr>
          <w:b/>
        </w:rPr>
        <w:t>, 2018 to 2038, and 2018 to 2068</w:t>
      </w:r>
    </w:p>
    <w:tbl>
      <w:tblPr>
        <w:tblStyle w:val="GridTable5Dark-Accent5"/>
        <w:tblW w:w="9776" w:type="dxa"/>
        <w:tblLayout w:type="fixed"/>
        <w:tblLook w:val="04A0" w:firstRow="1" w:lastRow="0" w:firstColumn="1" w:lastColumn="0" w:noHBand="0" w:noVBand="1"/>
      </w:tblPr>
      <w:tblGrid>
        <w:gridCol w:w="3256"/>
        <w:gridCol w:w="1134"/>
        <w:gridCol w:w="1134"/>
        <w:gridCol w:w="1559"/>
        <w:gridCol w:w="1134"/>
        <w:gridCol w:w="1559"/>
      </w:tblGrid>
      <w:tr w:rsidR="003D5A61" w14:paraId="17B52156" w14:textId="77777777" w:rsidTr="003D5A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shd w:val="clear" w:color="auto" w:fill="31849B" w:themeFill="accent5" w:themeFillShade="BF"/>
            <w:vAlign w:val="center"/>
          </w:tcPr>
          <w:p w14:paraId="70771F7D" w14:textId="77777777" w:rsidR="003D5A61" w:rsidRDefault="003D5A61" w:rsidP="003D5A61">
            <w:pPr>
              <w:keepNext/>
              <w:spacing w:after="120"/>
              <w:jc w:val="center"/>
              <w:rPr>
                <w:b w:val="0"/>
              </w:rPr>
            </w:pPr>
            <w:r>
              <w:rPr>
                <w:b w:val="0"/>
              </w:rPr>
              <w:t>Territorial Authority</w:t>
            </w:r>
          </w:p>
        </w:tc>
        <w:tc>
          <w:tcPr>
            <w:tcW w:w="1134" w:type="dxa"/>
            <w:shd w:val="clear" w:color="auto" w:fill="31849B" w:themeFill="accent5" w:themeFillShade="BF"/>
            <w:vAlign w:val="center"/>
          </w:tcPr>
          <w:p w14:paraId="24FFFA1E" w14:textId="77777777" w:rsidR="003D5A61" w:rsidRDefault="003D5A61" w:rsidP="003D5A61">
            <w:pPr>
              <w:keepNext/>
              <w:spacing w:after="120"/>
              <w:jc w:val="center"/>
              <w:cnfStyle w:val="100000000000" w:firstRow="1" w:lastRow="0" w:firstColumn="0" w:lastColumn="0" w:oddVBand="0" w:evenVBand="0" w:oddHBand="0" w:evenHBand="0" w:firstRowFirstColumn="0" w:firstRowLastColumn="0" w:lastRowFirstColumn="0" w:lastRowLastColumn="0"/>
              <w:rPr>
                <w:b w:val="0"/>
              </w:rPr>
            </w:pPr>
            <w:r>
              <w:rPr>
                <w:b w:val="0"/>
              </w:rPr>
              <w:t>Actual MECs in 2018</w:t>
            </w:r>
          </w:p>
        </w:tc>
        <w:tc>
          <w:tcPr>
            <w:tcW w:w="1134" w:type="dxa"/>
            <w:shd w:val="clear" w:color="auto" w:fill="31849B" w:themeFill="accent5" w:themeFillShade="BF"/>
            <w:vAlign w:val="center"/>
          </w:tcPr>
          <w:p w14:paraId="0B2B268C" w14:textId="77777777" w:rsidR="003D5A61" w:rsidRDefault="003D5A61" w:rsidP="003D5A61">
            <w:pPr>
              <w:keepNext/>
              <w:spacing w:after="120"/>
              <w:jc w:val="center"/>
              <w:cnfStyle w:val="100000000000" w:firstRow="1" w:lastRow="0" w:firstColumn="0" w:lastColumn="0" w:oddVBand="0" w:evenVBand="0" w:oddHBand="0" w:evenHBand="0" w:firstRowFirstColumn="0" w:firstRowLastColumn="0" w:lastRowFirstColumn="0" w:lastRowLastColumn="0"/>
              <w:rPr>
                <w:b w:val="0"/>
              </w:rPr>
            </w:pPr>
            <w:r>
              <w:rPr>
                <w:b w:val="0"/>
              </w:rPr>
              <w:t>Projected MECs in 2038</w:t>
            </w:r>
          </w:p>
        </w:tc>
        <w:tc>
          <w:tcPr>
            <w:tcW w:w="1559" w:type="dxa"/>
            <w:shd w:val="clear" w:color="auto" w:fill="31849B" w:themeFill="accent5" w:themeFillShade="BF"/>
            <w:vAlign w:val="center"/>
          </w:tcPr>
          <w:p w14:paraId="11726D94" w14:textId="77777777" w:rsidR="003D5A61" w:rsidRDefault="003D5A61" w:rsidP="003D5A61">
            <w:pPr>
              <w:keepNext/>
              <w:spacing w:after="120"/>
              <w:jc w:val="center"/>
              <w:cnfStyle w:val="100000000000" w:firstRow="1" w:lastRow="0" w:firstColumn="0" w:lastColumn="0" w:oddVBand="0" w:evenVBand="0" w:oddHBand="0" w:evenHBand="0" w:firstRowFirstColumn="0" w:firstRowLastColumn="0" w:lastRowFirstColumn="0" w:lastRowLastColumn="0"/>
              <w:rPr>
                <w:b w:val="0"/>
              </w:rPr>
            </w:pPr>
            <w:r>
              <w:rPr>
                <w:b w:val="0"/>
              </w:rPr>
              <w:t>Compounded Annual Growth Rate (2018-2038)</w:t>
            </w:r>
          </w:p>
        </w:tc>
        <w:tc>
          <w:tcPr>
            <w:tcW w:w="1134" w:type="dxa"/>
            <w:shd w:val="clear" w:color="auto" w:fill="31849B" w:themeFill="accent5" w:themeFillShade="BF"/>
            <w:vAlign w:val="center"/>
          </w:tcPr>
          <w:p w14:paraId="6DE27A64" w14:textId="77777777" w:rsidR="003D5A61" w:rsidRDefault="003D5A61" w:rsidP="003D5A61">
            <w:pPr>
              <w:keepNext/>
              <w:spacing w:after="120"/>
              <w:jc w:val="center"/>
              <w:cnfStyle w:val="100000000000" w:firstRow="1" w:lastRow="0" w:firstColumn="0" w:lastColumn="0" w:oddVBand="0" w:evenVBand="0" w:oddHBand="0" w:evenHBand="0" w:firstRowFirstColumn="0" w:firstRowLastColumn="0" w:lastRowFirstColumn="0" w:lastRowLastColumn="0"/>
              <w:rPr>
                <w:b w:val="0"/>
              </w:rPr>
            </w:pPr>
            <w:r>
              <w:rPr>
                <w:b w:val="0"/>
              </w:rPr>
              <w:t>Projected MECs in 2068</w:t>
            </w:r>
          </w:p>
        </w:tc>
        <w:tc>
          <w:tcPr>
            <w:tcW w:w="1559" w:type="dxa"/>
            <w:shd w:val="clear" w:color="auto" w:fill="31849B" w:themeFill="accent5" w:themeFillShade="BF"/>
            <w:vAlign w:val="center"/>
          </w:tcPr>
          <w:p w14:paraId="247E2DF0" w14:textId="77777777" w:rsidR="003D5A61" w:rsidRDefault="003D5A61" w:rsidP="003D5A61">
            <w:pPr>
              <w:keepNext/>
              <w:spacing w:after="120"/>
              <w:jc w:val="center"/>
              <w:cnfStyle w:val="100000000000" w:firstRow="1" w:lastRow="0" w:firstColumn="0" w:lastColumn="0" w:oddVBand="0" w:evenVBand="0" w:oddHBand="0" w:evenHBand="0" w:firstRowFirstColumn="0" w:firstRowLastColumn="0" w:lastRowFirstColumn="0" w:lastRowLastColumn="0"/>
              <w:rPr>
                <w:b w:val="0"/>
              </w:rPr>
            </w:pPr>
            <w:r>
              <w:rPr>
                <w:b w:val="0"/>
              </w:rPr>
              <w:t>Compounded Annual Growth Rate (2018-2068)</w:t>
            </w:r>
          </w:p>
        </w:tc>
      </w:tr>
      <w:tr w:rsidR="003D5A61" w14:paraId="532A6DE6" w14:textId="77777777" w:rsidTr="003D5A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1ACCAF38" w14:textId="77777777" w:rsidR="003D5A61" w:rsidRDefault="003D5A61" w:rsidP="003D5A61">
            <w:pPr>
              <w:keepNext/>
              <w:spacing w:after="120"/>
              <w:rPr>
                <w:b w:val="0"/>
              </w:rPr>
            </w:pPr>
            <w:r>
              <w:rPr>
                <w:b w:val="0"/>
              </w:rPr>
              <w:t>Hamilton City</w:t>
            </w:r>
          </w:p>
        </w:tc>
        <w:tc>
          <w:tcPr>
            <w:tcW w:w="1134" w:type="dxa"/>
            <w:vAlign w:val="center"/>
          </w:tcPr>
          <w:p w14:paraId="396ABC0E" w14:textId="77777777" w:rsidR="003D5A61" w:rsidRPr="00A15862" w:rsidRDefault="003D5A61" w:rsidP="003D5A61">
            <w:pPr>
              <w:keepNext/>
              <w:spacing w:after="120"/>
              <w:jc w:val="right"/>
              <w:cnfStyle w:val="000000100000" w:firstRow="0" w:lastRow="0" w:firstColumn="0" w:lastColumn="0" w:oddVBand="0" w:evenVBand="0" w:oddHBand="1" w:evenHBand="0" w:firstRowFirstColumn="0" w:firstRowLastColumn="0" w:lastRowFirstColumn="0" w:lastRowLastColumn="0"/>
              <w:rPr>
                <w:bCs/>
              </w:rPr>
            </w:pPr>
            <w:r w:rsidRPr="00A15862">
              <w:rPr>
                <w:bCs/>
              </w:rPr>
              <w:t>100</w:t>
            </w:r>
            <w:r>
              <w:rPr>
                <w:bCs/>
              </w:rPr>
              <w:t>,</w:t>
            </w:r>
            <w:r w:rsidRPr="00A15862">
              <w:rPr>
                <w:bCs/>
              </w:rPr>
              <w:t>394</w:t>
            </w:r>
          </w:p>
        </w:tc>
        <w:tc>
          <w:tcPr>
            <w:tcW w:w="1134" w:type="dxa"/>
            <w:vAlign w:val="center"/>
          </w:tcPr>
          <w:p w14:paraId="4EBD2E37" w14:textId="77777777" w:rsidR="003D5A61" w:rsidRPr="00A15862" w:rsidRDefault="003D5A61" w:rsidP="003D5A61">
            <w:pPr>
              <w:keepNext/>
              <w:spacing w:after="120"/>
              <w:jc w:val="right"/>
              <w:cnfStyle w:val="000000100000" w:firstRow="0" w:lastRow="0" w:firstColumn="0" w:lastColumn="0" w:oddVBand="0" w:evenVBand="0" w:oddHBand="1" w:evenHBand="0" w:firstRowFirstColumn="0" w:firstRowLastColumn="0" w:lastRowFirstColumn="0" w:lastRowLastColumn="0"/>
              <w:rPr>
                <w:bCs/>
              </w:rPr>
            </w:pPr>
            <w:r>
              <w:rPr>
                <w:bCs/>
              </w:rPr>
              <w:t>137,385</w:t>
            </w:r>
          </w:p>
        </w:tc>
        <w:tc>
          <w:tcPr>
            <w:tcW w:w="1559" w:type="dxa"/>
            <w:vAlign w:val="center"/>
          </w:tcPr>
          <w:p w14:paraId="4AA2D89C" w14:textId="77777777" w:rsidR="003D5A61" w:rsidRPr="00A15862" w:rsidRDefault="003D5A61" w:rsidP="003D5A61">
            <w:pPr>
              <w:keepNext/>
              <w:spacing w:after="120"/>
              <w:jc w:val="right"/>
              <w:cnfStyle w:val="000000100000" w:firstRow="0" w:lastRow="0" w:firstColumn="0" w:lastColumn="0" w:oddVBand="0" w:evenVBand="0" w:oddHBand="1" w:evenHBand="0" w:firstRowFirstColumn="0" w:firstRowLastColumn="0" w:lastRowFirstColumn="0" w:lastRowLastColumn="0"/>
              <w:rPr>
                <w:bCs/>
              </w:rPr>
            </w:pPr>
            <w:r>
              <w:rPr>
                <w:bCs/>
              </w:rPr>
              <w:t>1.58%</w:t>
            </w:r>
          </w:p>
        </w:tc>
        <w:tc>
          <w:tcPr>
            <w:tcW w:w="1134" w:type="dxa"/>
            <w:vAlign w:val="center"/>
          </w:tcPr>
          <w:p w14:paraId="645CB056" w14:textId="77777777" w:rsidR="003D5A61" w:rsidRPr="00A15862" w:rsidRDefault="003D5A61" w:rsidP="003D5A61">
            <w:pPr>
              <w:keepNext/>
              <w:spacing w:after="120"/>
              <w:jc w:val="right"/>
              <w:cnfStyle w:val="000000100000" w:firstRow="0" w:lastRow="0" w:firstColumn="0" w:lastColumn="0" w:oddVBand="0" w:evenVBand="0" w:oddHBand="1" w:evenHBand="0" w:firstRowFirstColumn="0" w:firstRowLastColumn="0" w:lastRowFirstColumn="0" w:lastRowLastColumn="0"/>
              <w:rPr>
                <w:bCs/>
              </w:rPr>
            </w:pPr>
            <w:r>
              <w:rPr>
                <w:bCs/>
              </w:rPr>
              <w:t>171,013</w:t>
            </w:r>
          </w:p>
        </w:tc>
        <w:tc>
          <w:tcPr>
            <w:tcW w:w="1559" w:type="dxa"/>
            <w:vAlign w:val="center"/>
          </w:tcPr>
          <w:p w14:paraId="52E5C103" w14:textId="77777777" w:rsidR="003D5A61" w:rsidRPr="00A15862" w:rsidRDefault="003D5A61" w:rsidP="003D5A61">
            <w:pPr>
              <w:keepNext/>
              <w:spacing w:after="120"/>
              <w:jc w:val="right"/>
              <w:cnfStyle w:val="000000100000" w:firstRow="0" w:lastRow="0" w:firstColumn="0" w:lastColumn="0" w:oddVBand="0" w:evenVBand="0" w:oddHBand="1" w:evenHBand="0" w:firstRowFirstColumn="0" w:firstRowLastColumn="0" w:lastRowFirstColumn="0" w:lastRowLastColumn="0"/>
              <w:rPr>
                <w:bCs/>
              </w:rPr>
            </w:pPr>
            <w:r>
              <w:rPr>
                <w:bCs/>
              </w:rPr>
              <w:t>1.07%</w:t>
            </w:r>
          </w:p>
        </w:tc>
      </w:tr>
      <w:tr w:rsidR="003D5A61" w14:paraId="65A66D21" w14:textId="77777777" w:rsidTr="003D5A61">
        <w:tc>
          <w:tcPr>
            <w:cnfStyle w:val="001000000000" w:firstRow="0" w:lastRow="0" w:firstColumn="1" w:lastColumn="0" w:oddVBand="0" w:evenVBand="0" w:oddHBand="0" w:evenHBand="0" w:firstRowFirstColumn="0" w:firstRowLastColumn="0" w:lastRowFirstColumn="0" w:lastRowLastColumn="0"/>
            <w:tcW w:w="3256" w:type="dxa"/>
            <w:vAlign w:val="center"/>
          </w:tcPr>
          <w:p w14:paraId="1DC6FA48" w14:textId="77777777" w:rsidR="003D5A61" w:rsidRDefault="003D5A61" w:rsidP="003D5A61">
            <w:pPr>
              <w:keepNext/>
              <w:spacing w:after="120"/>
              <w:rPr>
                <w:b w:val="0"/>
              </w:rPr>
            </w:pPr>
            <w:r>
              <w:rPr>
                <w:b w:val="0"/>
              </w:rPr>
              <w:t>Waipa District</w:t>
            </w:r>
          </w:p>
        </w:tc>
        <w:tc>
          <w:tcPr>
            <w:tcW w:w="1134" w:type="dxa"/>
            <w:vAlign w:val="center"/>
          </w:tcPr>
          <w:p w14:paraId="757C5AF1" w14:textId="77777777" w:rsidR="003D5A61" w:rsidRPr="00A15862" w:rsidRDefault="003D5A61" w:rsidP="003D5A61">
            <w:pPr>
              <w:keepNext/>
              <w:spacing w:after="120"/>
              <w:jc w:val="right"/>
              <w:cnfStyle w:val="000000000000" w:firstRow="0" w:lastRow="0" w:firstColumn="0" w:lastColumn="0" w:oddVBand="0" w:evenVBand="0" w:oddHBand="0" w:evenHBand="0" w:firstRowFirstColumn="0" w:firstRowLastColumn="0" w:lastRowFirstColumn="0" w:lastRowLastColumn="0"/>
              <w:rPr>
                <w:bCs/>
              </w:rPr>
            </w:pPr>
            <w:r>
              <w:rPr>
                <w:bCs/>
              </w:rPr>
              <w:t>23,735</w:t>
            </w:r>
          </w:p>
        </w:tc>
        <w:tc>
          <w:tcPr>
            <w:tcW w:w="1134" w:type="dxa"/>
            <w:vAlign w:val="center"/>
          </w:tcPr>
          <w:p w14:paraId="3EB9D7FF" w14:textId="77777777" w:rsidR="003D5A61" w:rsidRPr="00A15862" w:rsidRDefault="003D5A61" w:rsidP="003D5A61">
            <w:pPr>
              <w:keepNext/>
              <w:spacing w:after="120"/>
              <w:jc w:val="right"/>
              <w:cnfStyle w:val="000000000000" w:firstRow="0" w:lastRow="0" w:firstColumn="0" w:lastColumn="0" w:oddVBand="0" w:evenVBand="0" w:oddHBand="0" w:evenHBand="0" w:firstRowFirstColumn="0" w:firstRowLastColumn="0" w:lastRowFirstColumn="0" w:lastRowLastColumn="0"/>
              <w:rPr>
                <w:bCs/>
              </w:rPr>
            </w:pPr>
            <w:r>
              <w:rPr>
                <w:bCs/>
              </w:rPr>
              <w:t>31,218</w:t>
            </w:r>
          </w:p>
        </w:tc>
        <w:tc>
          <w:tcPr>
            <w:tcW w:w="1559" w:type="dxa"/>
            <w:vAlign w:val="center"/>
          </w:tcPr>
          <w:p w14:paraId="7AA022A2" w14:textId="77777777" w:rsidR="003D5A61" w:rsidRPr="00A15862" w:rsidRDefault="003D5A61" w:rsidP="003D5A61">
            <w:pPr>
              <w:keepNext/>
              <w:spacing w:after="120"/>
              <w:jc w:val="right"/>
              <w:cnfStyle w:val="000000000000" w:firstRow="0" w:lastRow="0" w:firstColumn="0" w:lastColumn="0" w:oddVBand="0" w:evenVBand="0" w:oddHBand="0" w:evenHBand="0" w:firstRowFirstColumn="0" w:firstRowLastColumn="0" w:lastRowFirstColumn="0" w:lastRowLastColumn="0"/>
              <w:rPr>
                <w:bCs/>
              </w:rPr>
            </w:pPr>
            <w:r>
              <w:rPr>
                <w:bCs/>
              </w:rPr>
              <w:t>1.38%</w:t>
            </w:r>
          </w:p>
        </w:tc>
        <w:tc>
          <w:tcPr>
            <w:tcW w:w="1134" w:type="dxa"/>
            <w:vAlign w:val="center"/>
          </w:tcPr>
          <w:p w14:paraId="6C5D8840" w14:textId="77777777" w:rsidR="003D5A61" w:rsidRPr="00A15862" w:rsidRDefault="003D5A61" w:rsidP="003D5A61">
            <w:pPr>
              <w:keepNext/>
              <w:spacing w:after="120"/>
              <w:jc w:val="right"/>
              <w:cnfStyle w:val="000000000000" w:firstRow="0" w:lastRow="0" w:firstColumn="0" w:lastColumn="0" w:oddVBand="0" w:evenVBand="0" w:oddHBand="0" w:evenHBand="0" w:firstRowFirstColumn="0" w:firstRowLastColumn="0" w:lastRowFirstColumn="0" w:lastRowLastColumn="0"/>
              <w:rPr>
                <w:bCs/>
              </w:rPr>
            </w:pPr>
            <w:r>
              <w:rPr>
                <w:bCs/>
              </w:rPr>
              <w:t>38,789</w:t>
            </w:r>
          </w:p>
        </w:tc>
        <w:tc>
          <w:tcPr>
            <w:tcW w:w="1559" w:type="dxa"/>
            <w:vAlign w:val="center"/>
          </w:tcPr>
          <w:p w14:paraId="5B40F290" w14:textId="77777777" w:rsidR="003D5A61" w:rsidRPr="00A15862" w:rsidRDefault="003D5A61" w:rsidP="003D5A61">
            <w:pPr>
              <w:keepNext/>
              <w:spacing w:after="120"/>
              <w:jc w:val="right"/>
              <w:cnfStyle w:val="000000000000" w:firstRow="0" w:lastRow="0" w:firstColumn="0" w:lastColumn="0" w:oddVBand="0" w:evenVBand="0" w:oddHBand="0" w:evenHBand="0" w:firstRowFirstColumn="0" w:firstRowLastColumn="0" w:lastRowFirstColumn="0" w:lastRowLastColumn="0"/>
              <w:rPr>
                <w:bCs/>
              </w:rPr>
            </w:pPr>
            <w:r>
              <w:rPr>
                <w:bCs/>
              </w:rPr>
              <w:t>0.99%</w:t>
            </w:r>
          </w:p>
        </w:tc>
      </w:tr>
      <w:tr w:rsidR="003D5A61" w14:paraId="716E9412" w14:textId="77777777" w:rsidTr="003D5A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3CB57DA1" w14:textId="77777777" w:rsidR="003D5A61" w:rsidRDefault="003D5A61" w:rsidP="003D5A61">
            <w:pPr>
              <w:keepNext/>
              <w:spacing w:after="120"/>
              <w:rPr>
                <w:b w:val="0"/>
              </w:rPr>
            </w:pPr>
            <w:r>
              <w:rPr>
                <w:b w:val="0"/>
              </w:rPr>
              <w:t>Waikato District</w:t>
            </w:r>
          </w:p>
        </w:tc>
        <w:tc>
          <w:tcPr>
            <w:tcW w:w="1134" w:type="dxa"/>
            <w:vAlign w:val="center"/>
          </w:tcPr>
          <w:p w14:paraId="19A15FE2" w14:textId="77777777" w:rsidR="003D5A61" w:rsidRPr="00A15862" w:rsidRDefault="003D5A61" w:rsidP="003D5A61">
            <w:pPr>
              <w:keepNext/>
              <w:spacing w:after="120"/>
              <w:jc w:val="right"/>
              <w:cnfStyle w:val="000000100000" w:firstRow="0" w:lastRow="0" w:firstColumn="0" w:lastColumn="0" w:oddVBand="0" w:evenVBand="0" w:oddHBand="1" w:evenHBand="0" w:firstRowFirstColumn="0" w:firstRowLastColumn="0" w:lastRowFirstColumn="0" w:lastRowLastColumn="0"/>
              <w:rPr>
                <w:bCs/>
              </w:rPr>
            </w:pPr>
            <w:r>
              <w:rPr>
                <w:bCs/>
              </w:rPr>
              <w:t>23,833</w:t>
            </w:r>
          </w:p>
        </w:tc>
        <w:tc>
          <w:tcPr>
            <w:tcW w:w="1134" w:type="dxa"/>
            <w:vAlign w:val="center"/>
          </w:tcPr>
          <w:p w14:paraId="5EE82523" w14:textId="77777777" w:rsidR="003D5A61" w:rsidRPr="00A15862" w:rsidRDefault="003D5A61" w:rsidP="003D5A61">
            <w:pPr>
              <w:keepNext/>
              <w:spacing w:after="120"/>
              <w:jc w:val="right"/>
              <w:cnfStyle w:val="000000100000" w:firstRow="0" w:lastRow="0" w:firstColumn="0" w:lastColumn="0" w:oddVBand="0" w:evenVBand="0" w:oddHBand="1" w:evenHBand="0" w:firstRowFirstColumn="0" w:firstRowLastColumn="0" w:lastRowFirstColumn="0" w:lastRowLastColumn="0"/>
              <w:rPr>
                <w:bCs/>
              </w:rPr>
            </w:pPr>
            <w:r>
              <w:rPr>
                <w:bCs/>
              </w:rPr>
              <w:t>34,462</w:t>
            </w:r>
          </w:p>
        </w:tc>
        <w:tc>
          <w:tcPr>
            <w:tcW w:w="1559" w:type="dxa"/>
            <w:vAlign w:val="center"/>
          </w:tcPr>
          <w:p w14:paraId="0AE586DC" w14:textId="77777777" w:rsidR="003D5A61" w:rsidRPr="00A15862" w:rsidRDefault="003D5A61" w:rsidP="003D5A61">
            <w:pPr>
              <w:keepNext/>
              <w:spacing w:after="120"/>
              <w:jc w:val="right"/>
              <w:cnfStyle w:val="000000100000" w:firstRow="0" w:lastRow="0" w:firstColumn="0" w:lastColumn="0" w:oddVBand="0" w:evenVBand="0" w:oddHBand="1" w:evenHBand="0" w:firstRowFirstColumn="0" w:firstRowLastColumn="0" w:lastRowFirstColumn="0" w:lastRowLastColumn="0"/>
              <w:rPr>
                <w:bCs/>
              </w:rPr>
            </w:pPr>
            <w:r>
              <w:rPr>
                <w:bCs/>
              </w:rPr>
              <w:t>1.86%</w:t>
            </w:r>
          </w:p>
        </w:tc>
        <w:tc>
          <w:tcPr>
            <w:tcW w:w="1134" w:type="dxa"/>
            <w:vAlign w:val="center"/>
          </w:tcPr>
          <w:p w14:paraId="227362EA" w14:textId="77777777" w:rsidR="003D5A61" w:rsidRPr="00A15862" w:rsidRDefault="003D5A61" w:rsidP="003D5A61">
            <w:pPr>
              <w:keepNext/>
              <w:spacing w:after="120"/>
              <w:jc w:val="right"/>
              <w:cnfStyle w:val="000000100000" w:firstRow="0" w:lastRow="0" w:firstColumn="0" w:lastColumn="0" w:oddVBand="0" w:evenVBand="0" w:oddHBand="1" w:evenHBand="0" w:firstRowFirstColumn="0" w:firstRowLastColumn="0" w:lastRowFirstColumn="0" w:lastRowLastColumn="0"/>
              <w:rPr>
                <w:bCs/>
              </w:rPr>
            </w:pPr>
            <w:r>
              <w:rPr>
                <w:bCs/>
              </w:rPr>
              <w:t>43,858</w:t>
            </w:r>
          </w:p>
        </w:tc>
        <w:tc>
          <w:tcPr>
            <w:tcW w:w="1559" w:type="dxa"/>
            <w:vAlign w:val="center"/>
          </w:tcPr>
          <w:p w14:paraId="3FA67F4D" w14:textId="77777777" w:rsidR="003D5A61" w:rsidRPr="00A15862" w:rsidRDefault="003D5A61" w:rsidP="003D5A61">
            <w:pPr>
              <w:keepNext/>
              <w:spacing w:after="120"/>
              <w:jc w:val="right"/>
              <w:cnfStyle w:val="000000100000" w:firstRow="0" w:lastRow="0" w:firstColumn="0" w:lastColumn="0" w:oddVBand="0" w:evenVBand="0" w:oddHBand="1" w:evenHBand="0" w:firstRowFirstColumn="0" w:firstRowLastColumn="0" w:lastRowFirstColumn="0" w:lastRowLastColumn="0"/>
              <w:rPr>
                <w:bCs/>
              </w:rPr>
            </w:pPr>
            <w:r>
              <w:rPr>
                <w:bCs/>
              </w:rPr>
              <w:t>1.23%</w:t>
            </w:r>
          </w:p>
        </w:tc>
      </w:tr>
      <w:tr w:rsidR="003D5A61" w14:paraId="29D83EC4" w14:textId="77777777" w:rsidTr="003D5A61">
        <w:tc>
          <w:tcPr>
            <w:cnfStyle w:val="001000000000" w:firstRow="0" w:lastRow="0" w:firstColumn="1" w:lastColumn="0" w:oddVBand="0" w:evenVBand="0" w:oddHBand="0" w:evenHBand="0" w:firstRowFirstColumn="0" w:firstRowLastColumn="0" w:lastRowFirstColumn="0" w:lastRowLastColumn="0"/>
            <w:tcW w:w="3256" w:type="dxa"/>
            <w:vAlign w:val="center"/>
          </w:tcPr>
          <w:p w14:paraId="3A337458" w14:textId="77777777" w:rsidR="003D5A61" w:rsidRDefault="003D5A61" w:rsidP="003D5A61">
            <w:pPr>
              <w:keepNext/>
              <w:spacing w:after="120"/>
              <w:rPr>
                <w:b w:val="0"/>
              </w:rPr>
            </w:pPr>
            <w:r>
              <w:rPr>
                <w:b w:val="0"/>
              </w:rPr>
              <w:t>Taup</w:t>
            </w:r>
            <w:r w:rsidRPr="00AF242B">
              <w:rPr>
                <w:b w:val="0"/>
              </w:rPr>
              <w:t>ō</w:t>
            </w:r>
            <w:r>
              <w:rPr>
                <w:b w:val="0"/>
              </w:rPr>
              <w:t xml:space="preserve"> District</w:t>
            </w:r>
          </w:p>
        </w:tc>
        <w:tc>
          <w:tcPr>
            <w:tcW w:w="1134" w:type="dxa"/>
            <w:vAlign w:val="center"/>
          </w:tcPr>
          <w:p w14:paraId="63032CE8" w14:textId="77777777" w:rsidR="003D5A61" w:rsidRPr="00A15862" w:rsidRDefault="003D5A61" w:rsidP="003D5A61">
            <w:pPr>
              <w:keepNext/>
              <w:spacing w:after="120"/>
              <w:jc w:val="right"/>
              <w:cnfStyle w:val="000000000000" w:firstRow="0" w:lastRow="0" w:firstColumn="0" w:lastColumn="0" w:oddVBand="0" w:evenVBand="0" w:oddHBand="0" w:evenHBand="0" w:firstRowFirstColumn="0" w:firstRowLastColumn="0" w:lastRowFirstColumn="0" w:lastRowLastColumn="0"/>
              <w:rPr>
                <w:bCs/>
              </w:rPr>
            </w:pPr>
            <w:r>
              <w:rPr>
                <w:bCs/>
              </w:rPr>
              <w:t>18,938</w:t>
            </w:r>
          </w:p>
        </w:tc>
        <w:tc>
          <w:tcPr>
            <w:tcW w:w="1134" w:type="dxa"/>
            <w:vAlign w:val="center"/>
          </w:tcPr>
          <w:p w14:paraId="0BDEB16D" w14:textId="77777777" w:rsidR="003D5A61" w:rsidRPr="00A15862" w:rsidRDefault="003D5A61" w:rsidP="003D5A61">
            <w:pPr>
              <w:keepNext/>
              <w:spacing w:after="120"/>
              <w:jc w:val="right"/>
              <w:cnfStyle w:val="000000000000" w:firstRow="0" w:lastRow="0" w:firstColumn="0" w:lastColumn="0" w:oddVBand="0" w:evenVBand="0" w:oddHBand="0" w:evenHBand="0" w:firstRowFirstColumn="0" w:firstRowLastColumn="0" w:lastRowFirstColumn="0" w:lastRowLastColumn="0"/>
              <w:rPr>
                <w:bCs/>
              </w:rPr>
            </w:pPr>
            <w:r>
              <w:rPr>
                <w:bCs/>
              </w:rPr>
              <w:t>23,220</w:t>
            </w:r>
          </w:p>
        </w:tc>
        <w:tc>
          <w:tcPr>
            <w:tcW w:w="1559" w:type="dxa"/>
            <w:vAlign w:val="center"/>
          </w:tcPr>
          <w:p w14:paraId="794960B6" w14:textId="77777777" w:rsidR="003D5A61" w:rsidRPr="00A15862" w:rsidRDefault="003D5A61" w:rsidP="003D5A61">
            <w:pPr>
              <w:keepNext/>
              <w:spacing w:after="120"/>
              <w:jc w:val="right"/>
              <w:cnfStyle w:val="000000000000" w:firstRow="0" w:lastRow="0" w:firstColumn="0" w:lastColumn="0" w:oddVBand="0" w:evenVBand="0" w:oddHBand="0" w:evenHBand="0" w:firstRowFirstColumn="0" w:firstRowLastColumn="0" w:lastRowFirstColumn="0" w:lastRowLastColumn="0"/>
              <w:rPr>
                <w:bCs/>
              </w:rPr>
            </w:pPr>
            <w:r>
              <w:rPr>
                <w:bCs/>
              </w:rPr>
              <w:t>1.02%</w:t>
            </w:r>
          </w:p>
        </w:tc>
        <w:tc>
          <w:tcPr>
            <w:tcW w:w="1134" w:type="dxa"/>
            <w:vAlign w:val="center"/>
          </w:tcPr>
          <w:p w14:paraId="0F101637" w14:textId="77777777" w:rsidR="003D5A61" w:rsidRPr="00A15862" w:rsidRDefault="003D5A61" w:rsidP="003D5A61">
            <w:pPr>
              <w:keepNext/>
              <w:spacing w:after="120"/>
              <w:jc w:val="right"/>
              <w:cnfStyle w:val="000000000000" w:firstRow="0" w:lastRow="0" w:firstColumn="0" w:lastColumn="0" w:oddVBand="0" w:evenVBand="0" w:oddHBand="0" w:evenHBand="0" w:firstRowFirstColumn="0" w:firstRowLastColumn="0" w:lastRowFirstColumn="0" w:lastRowLastColumn="0"/>
              <w:rPr>
                <w:bCs/>
              </w:rPr>
            </w:pPr>
            <w:r>
              <w:rPr>
                <w:bCs/>
              </w:rPr>
              <w:t>26,116</w:t>
            </w:r>
          </w:p>
        </w:tc>
        <w:tc>
          <w:tcPr>
            <w:tcW w:w="1559" w:type="dxa"/>
            <w:vAlign w:val="center"/>
          </w:tcPr>
          <w:p w14:paraId="7730E543" w14:textId="77777777" w:rsidR="003D5A61" w:rsidRPr="00A15862" w:rsidRDefault="003D5A61" w:rsidP="003D5A61">
            <w:pPr>
              <w:keepNext/>
              <w:spacing w:after="120"/>
              <w:jc w:val="right"/>
              <w:cnfStyle w:val="000000000000" w:firstRow="0" w:lastRow="0" w:firstColumn="0" w:lastColumn="0" w:oddVBand="0" w:evenVBand="0" w:oddHBand="0" w:evenHBand="0" w:firstRowFirstColumn="0" w:firstRowLastColumn="0" w:lastRowFirstColumn="0" w:lastRowLastColumn="0"/>
              <w:rPr>
                <w:bCs/>
              </w:rPr>
            </w:pPr>
            <w:r>
              <w:rPr>
                <w:bCs/>
              </w:rPr>
              <w:t>0.65%</w:t>
            </w:r>
          </w:p>
        </w:tc>
      </w:tr>
      <w:tr w:rsidR="003D5A61" w14:paraId="20A4D104" w14:textId="77777777" w:rsidTr="003D5A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67ECAFC1" w14:textId="77777777" w:rsidR="003D5A61" w:rsidRDefault="003D5A61" w:rsidP="003D5A61">
            <w:pPr>
              <w:keepNext/>
              <w:spacing w:after="120"/>
              <w:rPr>
                <w:b w:val="0"/>
              </w:rPr>
            </w:pPr>
            <w:r>
              <w:rPr>
                <w:b w:val="0"/>
              </w:rPr>
              <w:t>Matamata-Piako District</w:t>
            </w:r>
          </w:p>
        </w:tc>
        <w:tc>
          <w:tcPr>
            <w:tcW w:w="1134" w:type="dxa"/>
            <w:vAlign w:val="center"/>
          </w:tcPr>
          <w:p w14:paraId="7E1F750C" w14:textId="77777777" w:rsidR="003D5A61" w:rsidRPr="00A15862" w:rsidRDefault="003D5A61" w:rsidP="003D5A61">
            <w:pPr>
              <w:keepNext/>
              <w:spacing w:after="120"/>
              <w:jc w:val="right"/>
              <w:cnfStyle w:val="000000100000" w:firstRow="0" w:lastRow="0" w:firstColumn="0" w:lastColumn="0" w:oddVBand="0" w:evenVBand="0" w:oddHBand="1" w:evenHBand="0" w:firstRowFirstColumn="0" w:firstRowLastColumn="0" w:lastRowFirstColumn="0" w:lastRowLastColumn="0"/>
              <w:rPr>
                <w:bCs/>
              </w:rPr>
            </w:pPr>
            <w:r>
              <w:rPr>
                <w:bCs/>
              </w:rPr>
              <w:t>17,889</w:t>
            </w:r>
          </w:p>
        </w:tc>
        <w:tc>
          <w:tcPr>
            <w:tcW w:w="1134" w:type="dxa"/>
            <w:vAlign w:val="center"/>
          </w:tcPr>
          <w:p w14:paraId="17DA49D1" w14:textId="77777777" w:rsidR="003D5A61" w:rsidRPr="00A15862" w:rsidRDefault="003D5A61" w:rsidP="003D5A61">
            <w:pPr>
              <w:keepNext/>
              <w:spacing w:after="120"/>
              <w:jc w:val="right"/>
              <w:cnfStyle w:val="000000100000" w:firstRow="0" w:lastRow="0" w:firstColumn="0" w:lastColumn="0" w:oddVBand="0" w:evenVBand="0" w:oddHBand="1" w:evenHBand="0" w:firstRowFirstColumn="0" w:firstRowLastColumn="0" w:lastRowFirstColumn="0" w:lastRowLastColumn="0"/>
              <w:rPr>
                <w:bCs/>
              </w:rPr>
            </w:pPr>
            <w:r>
              <w:rPr>
                <w:bCs/>
              </w:rPr>
              <w:t>21,887</w:t>
            </w:r>
          </w:p>
        </w:tc>
        <w:tc>
          <w:tcPr>
            <w:tcW w:w="1559" w:type="dxa"/>
            <w:vAlign w:val="center"/>
          </w:tcPr>
          <w:p w14:paraId="2C4EA587" w14:textId="77777777" w:rsidR="003D5A61" w:rsidRPr="00A15862" w:rsidRDefault="003D5A61" w:rsidP="003D5A61">
            <w:pPr>
              <w:keepNext/>
              <w:spacing w:after="120"/>
              <w:jc w:val="right"/>
              <w:cnfStyle w:val="000000100000" w:firstRow="0" w:lastRow="0" w:firstColumn="0" w:lastColumn="0" w:oddVBand="0" w:evenVBand="0" w:oddHBand="1" w:evenHBand="0" w:firstRowFirstColumn="0" w:firstRowLastColumn="0" w:lastRowFirstColumn="0" w:lastRowLastColumn="0"/>
              <w:rPr>
                <w:bCs/>
              </w:rPr>
            </w:pPr>
            <w:r>
              <w:rPr>
                <w:bCs/>
              </w:rPr>
              <w:t>1.01%</w:t>
            </w:r>
          </w:p>
        </w:tc>
        <w:tc>
          <w:tcPr>
            <w:tcW w:w="1134" w:type="dxa"/>
            <w:vAlign w:val="center"/>
          </w:tcPr>
          <w:p w14:paraId="6030F446" w14:textId="77777777" w:rsidR="003D5A61" w:rsidRPr="00A15862" w:rsidRDefault="003D5A61" w:rsidP="003D5A61">
            <w:pPr>
              <w:keepNext/>
              <w:spacing w:after="120"/>
              <w:jc w:val="right"/>
              <w:cnfStyle w:val="000000100000" w:firstRow="0" w:lastRow="0" w:firstColumn="0" w:lastColumn="0" w:oddVBand="0" w:evenVBand="0" w:oddHBand="1" w:evenHBand="0" w:firstRowFirstColumn="0" w:firstRowLastColumn="0" w:lastRowFirstColumn="0" w:lastRowLastColumn="0"/>
              <w:rPr>
                <w:bCs/>
              </w:rPr>
            </w:pPr>
            <w:r>
              <w:rPr>
                <w:bCs/>
              </w:rPr>
              <w:t>24,647</w:t>
            </w:r>
          </w:p>
        </w:tc>
        <w:tc>
          <w:tcPr>
            <w:tcW w:w="1559" w:type="dxa"/>
            <w:vAlign w:val="center"/>
          </w:tcPr>
          <w:p w14:paraId="5117FF2A" w14:textId="77777777" w:rsidR="003D5A61" w:rsidRPr="00A15862" w:rsidRDefault="003D5A61" w:rsidP="003D5A61">
            <w:pPr>
              <w:keepNext/>
              <w:spacing w:after="120"/>
              <w:jc w:val="right"/>
              <w:cnfStyle w:val="000000100000" w:firstRow="0" w:lastRow="0" w:firstColumn="0" w:lastColumn="0" w:oddVBand="0" w:evenVBand="0" w:oddHBand="1" w:evenHBand="0" w:firstRowFirstColumn="0" w:firstRowLastColumn="0" w:lastRowFirstColumn="0" w:lastRowLastColumn="0"/>
              <w:rPr>
                <w:bCs/>
              </w:rPr>
            </w:pPr>
            <w:r>
              <w:rPr>
                <w:bCs/>
              </w:rPr>
              <w:t>0.64%</w:t>
            </w:r>
          </w:p>
        </w:tc>
      </w:tr>
      <w:tr w:rsidR="003D5A61" w14:paraId="52FDB04E" w14:textId="77777777" w:rsidTr="003D5A61">
        <w:tc>
          <w:tcPr>
            <w:cnfStyle w:val="001000000000" w:firstRow="0" w:lastRow="0" w:firstColumn="1" w:lastColumn="0" w:oddVBand="0" w:evenVBand="0" w:oddHBand="0" w:evenHBand="0" w:firstRowFirstColumn="0" w:firstRowLastColumn="0" w:lastRowFirstColumn="0" w:lastRowLastColumn="0"/>
            <w:tcW w:w="3256" w:type="dxa"/>
            <w:vAlign w:val="center"/>
          </w:tcPr>
          <w:p w14:paraId="6DF3495D" w14:textId="77777777" w:rsidR="003D5A61" w:rsidRDefault="003D5A61" w:rsidP="003D5A61">
            <w:pPr>
              <w:keepNext/>
              <w:spacing w:after="120"/>
              <w:rPr>
                <w:b w:val="0"/>
              </w:rPr>
            </w:pPr>
            <w:r>
              <w:rPr>
                <w:b w:val="0"/>
              </w:rPr>
              <w:t>Thames-Coromandel District</w:t>
            </w:r>
          </w:p>
        </w:tc>
        <w:tc>
          <w:tcPr>
            <w:tcW w:w="1134" w:type="dxa"/>
            <w:vAlign w:val="center"/>
          </w:tcPr>
          <w:p w14:paraId="2952567E" w14:textId="77777777" w:rsidR="003D5A61" w:rsidRPr="00A15862" w:rsidRDefault="003D5A61" w:rsidP="003D5A61">
            <w:pPr>
              <w:keepNext/>
              <w:spacing w:after="120"/>
              <w:jc w:val="right"/>
              <w:cnfStyle w:val="000000000000" w:firstRow="0" w:lastRow="0" w:firstColumn="0" w:lastColumn="0" w:oddVBand="0" w:evenVBand="0" w:oddHBand="0" w:evenHBand="0" w:firstRowFirstColumn="0" w:firstRowLastColumn="0" w:lastRowFirstColumn="0" w:lastRowLastColumn="0"/>
              <w:rPr>
                <w:bCs/>
              </w:rPr>
            </w:pPr>
            <w:r>
              <w:rPr>
                <w:bCs/>
              </w:rPr>
              <w:t>12,966</w:t>
            </w:r>
          </w:p>
        </w:tc>
        <w:tc>
          <w:tcPr>
            <w:tcW w:w="1134" w:type="dxa"/>
            <w:vAlign w:val="center"/>
          </w:tcPr>
          <w:p w14:paraId="56CCF437" w14:textId="77777777" w:rsidR="003D5A61" w:rsidRPr="00A15862" w:rsidRDefault="003D5A61" w:rsidP="003D5A61">
            <w:pPr>
              <w:keepNext/>
              <w:spacing w:after="120"/>
              <w:jc w:val="right"/>
              <w:cnfStyle w:val="000000000000" w:firstRow="0" w:lastRow="0" w:firstColumn="0" w:lastColumn="0" w:oddVBand="0" w:evenVBand="0" w:oddHBand="0" w:evenHBand="0" w:firstRowFirstColumn="0" w:firstRowLastColumn="0" w:lastRowFirstColumn="0" w:lastRowLastColumn="0"/>
              <w:rPr>
                <w:bCs/>
              </w:rPr>
            </w:pPr>
            <w:r>
              <w:rPr>
                <w:bCs/>
              </w:rPr>
              <w:t>16,175</w:t>
            </w:r>
          </w:p>
        </w:tc>
        <w:tc>
          <w:tcPr>
            <w:tcW w:w="1559" w:type="dxa"/>
            <w:vAlign w:val="center"/>
          </w:tcPr>
          <w:p w14:paraId="0FC1D706" w14:textId="77777777" w:rsidR="003D5A61" w:rsidRPr="00A15862" w:rsidRDefault="003D5A61" w:rsidP="003D5A61">
            <w:pPr>
              <w:keepNext/>
              <w:spacing w:after="120"/>
              <w:jc w:val="right"/>
              <w:cnfStyle w:val="000000000000" w:firstRow="0" w:lastRow="0" w:firstColumn="0" w:lastColumn="0" w:oddVBand="0" w:evenVBand="0" w:oddHBand="0" w:evenHBand="0" w:firstRowFirstColumn="0" w:firstRowLastColumn="0" w:lastRowFirstColumn="0" w:lastRowLastColumn="0"/>
              <w:rPr>
                <w:bCs/>
              </w:rPr>
            </w:pPr>
            <w:r>
              <w:rPr>
                <w:bCs/>
              </w:rPr>
              <w:t>1.11%</w:t>
            </w:r>
          </w:p>
        </w:tc>
        <w:tc>
          <w:tcPr>
            <w:tcW w:w="1134" w:type="dxa"/>
            <w:vAlign w:val="center"/>
          </w:tcPr>
          <w:p w14:paraId="1A62AA05" w14:textId="77777777" w:rsidR="003D5A61" w:rsidRPr="00A15862" w:rsidRDefault="003D5A61" w:rsidP="003D5A61">
            <w:pPr>
              <w:keepNext/>
              <w:spacing w:after="120"/>
              <w:jc w:val="right"/>
              <w:cnfStyle w:val="000000000000" w:firstRow="0" w:lastRow="0" w:firstColumn="0" w:lastColumn="0" w:oddVBand="0" w:evenVBand="0" w:oddHBand="0" w:evenHBand="0" w:firstRowFirstColumn="0" w:firstRowLastColumn="0" w:lastRowFirstColumn="0" w:lastRowLastColumn="0"/>
              <w:rPr>
                <w:bCs/>
              </w:rPr>
            </w:pPr>
            <w:r>
              <w:rPr>
                <w:bCs/>
              </w:rPr>
              <w:t>19,275</w:t>
            </w:r>
          </w:p>
        </w:tc>
        <w:tc>
          <w:tcPr>
            <w:tcW w:w="1559" w:type="dxa"/>
            <w:vAlign w:val="center"/>
          </w:tcPr>
          <w:p w14:paraId="56213511" w14:textId="77777777" w:rsidR="003D5A61" w:rsidRPr="00A15862" w:rsidRDefault="003D5A61" w:rsidP="003D5A61">
            <w:pPr>
              <w:keepNext/>
              <w:spacing w:after="120"/>
              <w:jc w:val="right"/>
              <w:cnfStyle w:val="000000000000" w:firstRow="0" w:lastRow="0" w:firstColumn="0" w:lastColumn="0" w:oddVBand="0" w:evenVBand="0" w:oddHBand="0" w:evenHBand="0" w:firstRowFirstColumn="0" w:firstRowLastColumn="0" w:lastRowFirstColumn="0" w:lastRowLastColumn="0"/>
              <w:rPr>
                <w:bCs/>
              </w:rPr>
            </w:pPr>
            <w:r>
              <w:rPr>
                <w:bCs/>
              </w:rPr>
              <w:t>0.80%</w:t>
            </w:r>
          </w:p>
        </w:tc>
      </w:tr>
      <w:tr w:rsidR="003D5A61" w14:paraId="70E0DF32" w14:textId="77777777" w:rsidTr="003D5A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69618616" w14:textId="77777777" w:rsidR="003D5A61" w:rsidRPr="009333FF" w:rsidRDefault="003D5A61" w:rsidP="003D5A61">
            <w:pPr>
              <w:keepNext/>
              <w:spacing w:after="120"/>
              <w:rPr>
                <w:bCs w:val="0"/>
              </w:rPr>
            </w:pPr>
            <w:r>
              <w:rPr>
                <w:b w:val="0"/>
              </w:rPr>
              <w:t>South Waikato District</w:t>
            </w:r>
          </w:p>
        </w:tc>
        <w:tc>
          <w:tcPr>
            <w:tcW w:w="1134" w:type="dxa"/>
            <w:vAlign w:val="center"/>
          </w:tcPr>
          <w:p w14:paraId="5D61ED75" w14:textId="77777777" w:rsidR="003D5A61" w:rsidRPr="00A15862" w:rsidRDefault="003D5A61" w:rsidP="003D5A61">
            <w:pPr>
              <w:keepNext/>
              <w:spacing w:after="120"/>
              <w:jc w:val="right"/>
              <w:cnfStyle w:val="000000100000" w:firstRow="0" w:lastRow="0" w:firstColumn="0" w:lastColumn="0" w:oddVBand="0" w:evenVBand="0" w:oddHBand="1" w:evenHBand="0" w:firstRowFirstColumn="0" w:firstRowLastColumn="0" w:lastRowFirstColumn="0" w:lastRowLastColumn="0"/>
              <w:rPr>
                <w:bCs/>
              </w:rPr>
            </w:pPr>
            <w:r>
              <w:rPr>
                <w:bCs/>
              </w:rPr>
              <w:t>9,751</w:t>
            </w:r>
          </w:p>
        </w:tc>
        <w:tc>
          <w:tcPr>
            <w:tcW w:w="1134" w:type="dxa"/>
            <w:vAlign w:val="center"/>
          </w:tcPr>
          <w:p w14:paraId="10DF77D3" w14:textId="77777777" w:rsidR="003D5A61" w:rsidRPr="00A15862" w:rsidRDefault="003D5A61" w:rsidP="003D5A61">
            <w:pPr>
              <w:keepNext/>
              <w:spacing w:after="120"/>
              <w:jc w:val="right"/>
              <w:cnfStyle w:val="000000100000" w:firstRow="0" w:lastRow="0" w:firstColumn="0" w:lastColumn="0" w:oddVBand="0" w:evenVBand="0" w:oddHBand="1" w:evenHBand="0" w:firstRowFirstColumn="0" w:firstRowLastColumn="0" w:lastRowFirstColumn="0" w:lastRowLastColumn="0"/>
              <w:rPr>
                <w:bCs/>
              </w:rPr>
            </w:pPr>
            <w:r>
              <w:rPr>
                <w:bCs/>
              </w:rPr>
              <w:t>11,942</w:t>
            </w:r>
          </w:p>
        </w:tc>
        <w:tc>
          <w:tcPr>
            <w:tcW w:w="1559" w:type="dxa"/>
            <w:vAlign w:val="center"/>
          </w:tcPr>
          <w:p w14:paraId="680496B7" w14:textId="77777777" w:rsidR="003D5A61" w:rsidRPr="00A15862" w:rsidRDefault="003D5A61" w:rsidP="003D5A61">
            <w:pPr>
              <w:keepNext/>
              <w:spacing w:after="120"/>
              <w:jc w:val="right"/>
              <w:cnfStyle w:val="000000100000" w:firstRow="0" w:lastRow="0" w:firstColumn="0" w:lastColumn="0" w:oddVBand="0" w:evenVBand="0" w:oddHBand="1" w:evenHBand="0" w:firstRowFirstColumn="0" w:firstRowLastColumn="0" w:lastRowFirstColumn="0" w:lastRowLastColumn="0"/>
              <w:rPr>
                <w:bCs/>
              </w:rPr>
            </w:pPr>
            <w:r>
              <w:rPr>
                <w:bCs/>
              </w:rPr>
              <w:t>1.02%</w:t>
            </w:r>
          </w:p>
        </w:tc>
        <w:tc>
          <w:tcPr>
            <w:tcW w:w="1134" w:type="dxa"/>
            <w:vAlign w:val="center"/>
          </w:tcPr>
          <w:p w14:paraId="1316EC1C" w14:textId="77777777" w:rsidR="003D5A61" w:rsidRPr="00A15862" w:rsidRDefault="003D5A61" w:rsidP="003D5A61">
            <w:pPr>
              <w:keepNext/>
              <w:spacing w:after="120"/>
              <w:jc w:val="right"/>
              <w:cnfStyle w:val="000000100000" w:firstRow="0" w:lastRow="0" w:firstColumn="0" w:lastColumn="0" w:oddVBand="0" w:evenVBand="0" w:oddHBand="1" w:evenHBand="0" w:firstRowFirstColumn="0" w:firstRowLastColumn="0" w:lastRowFirstColumn="0" w:lastRowLastColumn="0"/>
              <w:rPr>
                <w:bCs/>
              </w:rPr>
            </w:pPr>
            <w:r>
              <w:rPr>
                <w:bCs/>
              </w:rPr>
              <w:t>13,498</w:t>
            </w:r>
          </w:p>
        </w:tc>
        <w:tc>
          <w:tcPr>
            <w:tcW w:w="1559" w:type="dxa"/>
            <w:vAlign w:val="center"/>
          </w:tcPr>
          <w:p w14:paraId="716CAAC9" w14:textId="77777777" w:rsidR="003D5A61" w:rsidRPr="00A15862" w:rsidRDefault="003D5A61" w:rsidP="003D5A61">
            <w:pPr>
              <w:keepNext/>
              <w:spacing w:after="120"/>
              <w:jc w:val="right"/>
              <w:cnfStyle w:val="000000100000" w:firstRow="0" w:lastRow="0" w:firstColumn="0" w:lastColumn="0" w:oddVBand="0" w:evenVBand="0" w:oddHBand="1" w:evenHBand="0" w:firstRowFirstColumn="0" w:firstRowLastColumn="0" w:lastRowFirstColumn="0" w:lastRowLastColumn="0"/>
              <w:rPr>
                <w:bCs/>
              </w:rPr>
            </w:pPr>
            <w:r>
              <w:rPr>
                <w:bCs/>
              </w:rPr>
              <w:t>0.65%</w:t>
            </w:r>
          </w:p>
        </w:tc>
      </w:tr>
      <w:tr w:rsidR="003D5A61" w14:paraId="623417DD" w14:textId="77777777" w:rsidTr="003D5A61">
        <w:tc>
          <w:tcPr>
            <w:cnfStyle w:val="001000000000" w:firstRow="0" w:lastRow="0" w:firstColumn="1" w:lastColumn="0" w:oddVBand="0" w:evenVBand="0" w:oddHBand="0" w:evenHBand="0" w:firstRowFirstColumn="0" w:firstRowLastColumn="0" w:lastRowFirstColumn="0" w:lastRowLastColumn="0"/>
            <w:tcW w:w="3256" w:type="dxa"/>
            <w:vAlign w:val="center"/>
          </w:tcPr>
          <w:p w14:paraId="7DDF7CDE" w14:textId="77777777" w:rsidR="003D5A61" w:rsidRDefault="003D5A61" w:rsidP="003D5A61">
            <w:pPr>
              <w:keepNext/>
              <w:spacing w:after="120"/>
              <w:rPr>
                <w:b w:val="0"/>
              </w:rPr>
            </w:pPr>
            <w:r>
              <w:rPr>
                <w:b w:val="0"/>
              </w:rPr>
              <w:t>Hauraki District</w:t>
            </w:r>
          </w:p>
        </w:tc>
        <w:tc>
          <w:tcPr>
            <w:tcW w:w="1134" w:type="dxa"/>
            <w:vAlign w:val="center"/>
          </w:tcPr>
          <w:p w14:paraId="01C64CA9" w14:textId="77777777" w:rsidR="003D5A61" w:rsidRPr="00A15862" w:rsidRDefault="003D5A61" w:rsidP="003D5A61">
            <w:pPr>
              <w:keepNext/>
              <w:spacing w:after="120"/>
              <w:jc w:val="right"/>
              <w:cnfStyle w:val="000000000000" w:firstRow="0" w:lastRow="0" w:firstColumn="0" w:lastColumn="0" w:oddVBand="0" w:evenVBand="0" w:oddHBand="0" w:evenHBand="0" w:firstRowFirstColumn="0" w:firstRowLastColumn="0" w:lastRowFirstColumn="0" w:lastRowLastColumn="0"/>
              <w:rPr>
                <w:bCs/>
              </w:rPr>
            </w:pPr>
            <w:r>
              <w:rPr>
                <w:bCs/>
              </w:rPr>
              <w:t>7,239</w:t>
            </w:r>
          </w:p>
        </w:tc>
        <w:tc>
          <w:tcPr>
            <w:tcW w:w="1134" w:type="dxa"/>
            <w:vAlign w:val="center"/>
          </w:tcPr>
          <w:p w14:paraId="2F779430" w14:textId="77777777" w:rsidR="003D5A61" w:rsidRPr="00A15862" w:rsidRDefault="003D5A61" w:rsidP="003D5A61">
            <w:pPr>
              <w:keepNext/>
              <w:spacing w:after="120"/>
              <w:jc w:val="right"/>
              <w:cnfStyle w:val="000000000000" w:firstRow="0" w:lastRow="0" w:firstColumn="0" w:lastColumn="0" w:oddVBand="0" w:evenVBand="0" w:oddHBand="0" w:evenHBand="0" w:firstRowFirstColumn="0" w:firstRowLastColumn="0" w:lastRowFirstColumn="0" w:lastRowLastColumn="0"/>
              <w:rPr>
                <w:bCs/>
              </w:rPr>
            </w:pPr>
            <w:r>
              <w:rPr>
                <w:bCs/>
              </w:rPr>
              <w:t>9,063</w:t>
            </w:r>
          </w:p>
        </w:tc>
        <w:tc>
          <w:tcPr>
            <w:tcW w:w="1559" w:type="dxa"/>
            <w:vAlign w:val="center"/>
          </w:tcPr>
          <w:p w14:paraId="197CB009" w14:textId="77777777" w:rsidR="003D5A61" w:rsidRPr="00A15862" w:rsidRDefault="003D5A61" w:rsidP="003D5A61">
            <w:pPr>
              <w:keepNext/>
              <w:spacing w:after="120"/>
              <w:jc w:val="right"/>
              <w:cnfStyle w:val="000000000000" w:firstRow="0" w:lastRow="0" w:firstColumn="0" w:lastColumn="0" w:oddVBand="0" w:evenVBand="0" w:oddHBand="0" w:evenHBand="0" w:firstRowFirstColumn="0" w:firstRowLastColumn="0" w:lastRowFirstColumn="0" w:lastRowLastColumn="0"/>
              <w:rPr>
                <w:bCs/>
              </w:rPr>
            </w:pPr>
            <w:r>
              <w:rPr>
                <w:bCs/>
              </w:rPr>
              <w:t>1.13%</w:t>
            </w:r>
          </w:p>
        </w:tc>
        <w:tc>
          <w:tcPr>
            <w:tcW w:w="1134" w:type="dxa"/>
            <w:vAlign w:val="center"/>
          </w:tcPr>
          <w:p w14:paraId="5F7A1565" w14:textId="77777777" w:rsidR="003D5A61" w:rsidRPr="00A15862" w:rsidRDefault="003D5A61" w:rsidP="003D5A61">
            <w:pPr>
              <w:keepNext/>
              <w:spacing w:after="120"/>
              <w:jc w:val="right"/>
              <w:cnfStyle w:val="000000000000" w:firstRow="0" w:lastRow="0" w:firstColumn="0" w:lastColumn="0" w:oddVBand="0" w:evenVBand="0" w:oddHBand="0" w:evenHBand="0" w:firstRowFirstColumn="0" w:firstRowLastColumn="0" w:lastRowFirstColumn="0" w:lastRowLastColumn="0"/>
              <w:rPr>
                <w:bCs/>
              </w:rPr>
            </w:pPr>
            <w:r>
              <w:rPr>
                <w:bCs/>
              </w:rPr>
              <w:t>10,513</w:t>
            </w:r>
          </w:p>
        </w:tc>
        <w:tc>
          <w:tcPr>
            <w:tcW w:w="1559" w:type="dxa"/>
            <w:vAlign w:val="center"/>
          </w:tcPr>
          <w:p w14:paraId="6993B282" w14:textId="77777777" w:rsidR="003D5A61" w:rsidRPr="00A15862" w:rsidRDefault="003D5A61" w:rsidP="003D5A61">
            <w:pPr>
              <w:keepNext/>
              <w:spacing w:after="120"/>
              <w:jc w:val="right"/>
              <w:cnfStyle w:val="000000000000" w:firstRow="0" w:lastRow="0" w:firstColumn="0" w:lastColumn="0" w:oddVBand="0" w:evenVBand="0" w:oddHBand="0" w:evenHBand="0" w:firstRowFirstColumn="0" w:firstRowLastColumn="0" w:lastRowFirstColumn="0" w:lastRowLastColumn="0"/>
              <w:rPr>
                <w:bCs/>
              </w:rPr>
            </w:pPr>
            <w:r>
              <w:rPr>
                <w:bCs/>
              </w:rPr>
              <w:t>0.75%</w:t>
            </w:r>
          </w:p>
        </w:tc>
      </w:tr>
      <w:tr w:rsidR="003D5A61" w14:paraId="42AEEE59" w14:textId="77777777" w:rsidTr="003D5A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0384760B" w14:textId="77777777" w:rsidR="003D5A61" w:rsidRPr="009333FF" w:rsidRDefault="003D5A61" w:rsidP="003D5A61">
            <w:pPr>
              <w:keepNext/>
              <w:spacing w:after="120"/>
              <w:rPr>
                <w:bCs w:val="0"/>
              </w:rPr>
            </w:pPr>
            <w:r>
              <w:rPr>
                <w:b w:val="0"/>
              </w:rPr>
              <w:t>Waitomo District</w:t>
            </w:r>
          </w:p>
        </w:tc>
        <w:tc>
          <w:tcPr>
            <w:tcW w:w="1134" w:type="dxa"/>
            <w:vAlign w:val="center"/>
          </w:tcPr>
          <w:p w14:paraId="0BB14809" w14:textId="77777777" w:rsidR="003D5A61" w:rsidRPr="00A15862" w:rsidRDefault="003D5A61" w:rsidP="003D5A61">
            <w:pPr>
              <w:keepNext/>
              <w:spacing w:after="120"/>
              <w:jc w:val="right"/>
              <w:cnfStyle w:val="000000100000" w:firstRow="0" w:lastRow="0" w:firstColumn="0" w:lastColumn="0" w:oddVBand="0" w:evenVBand="0" w:oddHBand="1" w:evenHBand="0" w:firstRowFirstColumn="0" w:firstRowLastColumn="0" w:lastRowFirstColumn="0" w:lastRowLastColumn="0"/>
              <w:rPr>
                <w:bCs/>
              </w:rPr>
            </w:pPr>
            <w:r>
              <w:rPr>
                <w:bCs/>
              </w:rPr>
              <w:t>5,352</w:t>
            </w:r>
          </w:p>
        </w:tc>
        <w:tc>
          <w:tcPr>
            <w:tcW w:w="1134" w:type="dxa"/>
            <w:vAlign w:val="center"/>
          </w:tcPr>
          <w:p w14:paraId="2B25320D" w14:textId="77777777" w:rsidR="003D5A61" w:rsidRPr="00A15862" w:rsidRDefault="003D5A61" w:rsidP="003D5A61">
            <w:pPr>
              <w:keepNext/>
              <w:spacing w:after="120"/>
              <w:jc w:val="right"/>
              <w:cnfStyle w:val="000000100000" w:firstRow="0" w:lastRow="0" w:firstColumn="0" w:lastColumn="0" w:oddVBand="0" w:evenVBand="0" w:oddHBand="1" w:evenHBand="0" w:firstRowFirstColumn="0" w:firstRowLastColumn="0" w:lastRowFirstColumn="0" w:lastRowLastColumn="0"/>
              <w:rPr>
                <w:bCs/>
              </w:rPr>
            </w:pPr>
            <w:r>
              <w:rPr>
                <w:bCs/>
              </w:rPr>
              <w:t>6,561</w:t>
            </w:r>
          </w:p>
        </w:tc>
        <w:tc>
          <w:tcPr>
            <w:tcW w:w="1559" w:type="dxa"/>
            <w:vAlign w:val="center"/>
          </w:tcPr>
          <w:p w14:paraId="4CFDD9B7" w14:textId="77777777" w:rsidR="003D5A61" w:rsidRPr="00A15862" w:rsidRDefault="003D5A61" w:rsidP="003D5A61">
            <w:pPr>
              <w:keepNext/>
              <w:spacing w:after="120"/>
              <w:jc w:val="right"/>
              <w:cnfStyle w:val="000000100000" w:firstRow="0" w:lastRow="0" w:firstColumn="0" w:lastColumn="0" w:oddVBand="0" w:evenVBand="0" w:oddHBand="1" w:evenHBand="0" w:firstRowFirstColumn="0" w:firstRowLastColumn="0" w:lastRowFirstColumn="0" w:lastRowLastColumn="0"/>
              <w:rPr>
                <w:bCs/>
              </w:rPr>
            </w:pPr>
            <w:r>
              <w:rPr>
                <w:bCs/>
              </w:rPr>
              <w:t>1.02%</w:t>
            </w:r>
          </w:p>
        </w:tc>
        <w:tc>
          <w:tcPr>
            <w:tcW w:w="1134" w:type="dxa"/>
            <w:vAlign w:val="center"/>
          </w:tcPr>
          <w:p w14:paraId="419615C6" w14:textId="77777777" w:rsidR="003D5A61" w:rsidRPr="00A15862" w:rsidRDefault="003D5A61" w:rsidP="003D5A61">
            <w:pPr>
              <w:keepNext/>
              <w:spacing w:after="120"/>
              <w:jc w:val="right"/>
              <w:cnfStyle w:val="000000100000" w:firstRow="0" w:lastRow="0" w:firstColumn="0" w:lastColumn="0" w:oddVBand="0" w:evenVBand="0" w:oddHBand="1" w:evenHBand="0" w:firstRowFirstColumn="0" w:firstRowLastColumn="0" w:lastRowFirstColumn="0" w:lastRowLastColumn="0"/>
              <w:rPr>
                <w:bCs/>
              </w:rPr>
            </w:pPr>
            <w:r>
              <w:rPr>
                <w:bCs/>
              </w:rPr>
              <w:t>7,417</w:t>
            </w:r>
          </w:p>
        </w:tc>
        <w:tc>
          <w:tcPr>
            <w:tcW w:w="1559" w:type="dxa"/>
            <w:vAlign w:val="center"/>
          </w:tcPr>
          <w:p w14:paraId="35CE3408" w14:textId="77777777" w:rsidR="003D5A61" w:rsidRPr="00A15862" w:rsidRDefault="003D5A61" w:rsidP="003D5A61">
            <w:pPr>
              <w:keepNext/>
              <w:spacing w:after="120"/>
              <w:jc w:val="right"/>
              <w:cnfStyle w:val="000000100000" w:firstRow="0" w:lastRow="0" w:firstColumn="0" w:lastColumn="0" w:oddVBand="0" w:evenVBand="0" w:oddHBand="1" w:evenHBand="0" w:firstRowFirstColumn="0" w:firstRowLastColumn="0" w:lastRowFirstColumn="0" w:lastRowLastColumn="0"/>
              <w:rPr>
                <w:bCs/>
              </w:rPr>
            </w:pPr>
            <w:r>
              <w:rPr>
                <w:bCs/>
              </w:rPr>
              <w:t>0.66%</w:t>
            </w:r>
          </w:p>
        </w:tc>
      </w:tr>
      <w:tr w:rsidR="003D5A61" w14:paraId="63250046" w14:textId="77777777" w:rsidTr="003D5A61">
        <w:tc>
          <w:tcPr>
            <w:cnfStyle w:val="001000000000" w:firstRow="0" w:lastRow="0" w:firstColumn="1" w:lastColumn="0" w:oddVBand="0" w:evenVBand="0" w:oddHBand="0" w:evenHBand="0" w:firstRowFirstColumn="0" w:firstRowLastColumn="0" w:lastRowFirstColumn="0" w:lastRowLastColumn="0"/>
            <w:tcW w:w="3256" w:type="dxa"/>
            <w:vAlign w:val="center"/>
          </w:tcPr>
          <w:p w14:paraId="4BFAA532" w14:textId="77777777" w:rsidR="003D5A61" w:rsidRDefault="003D5A61" w:rsidP="003D5A61">
            <w:pPr>
              <w:keepNext/>
              <w:spacing w:after="120"/>
              <w:rPr>
                <w:b w:val="0"/>
              </w:rPr>
            </w:pPr>
            <w:r w:rsidRPr="00AF242B">
              <w:rPr>
                <w:b w:val="0"/>
              </w:rPr>
              <w:t>Ō</w:t>
            </w:r>
            <w:r>
              <w:rPr>
                <w:b w:val="0"/>
              </w:rPr>
              <w:t>torohanga District</w:t>
            </w:r>
          </w:p>
        </w:tc>
        <w:tc>
          <w:tcPr>
            <w:tcW w:w="1134" w:type="dxa"/>
            <w:vAlign w:val="center"/>
          </w:tcPr>
          <w:p w14:paraId="69A05956" w14:textId="77777777" w:rsidR="003D5A61" w:rsidRPr="00A15862" w:rsidRDefault="003D5A61" w:rsidP="003D5A61">
            <w:pPr>
              <w:keepNext/>
              <w:spacing w:after="120"/>
              <w:jc w:val="right"/>
              <w:cnfStyle w:val="000000000000" w:firstRow="0" w:lastRow="0" w:firstColumn="0" w:lastColumn="0" w:oddVBand="0" w:evenVBand="0" w:oddHBand="0" w:evenHBand="0" w:firstRowFirstColumn="0" w:firstRowLastColumn="0" w:lastRowFirstColumn="0" w:lastRowLastColumn="0"/>
              <w:rPr>
                <w:bCs/>
              </w:rPr>
            </w:pPr>
            <w:r>
              <w:rPr>
                <w:bCs/>
              </w:rPr>
              <w:t>4,739</w:t>
            </w:r>
          </w:p>
        </w:tc>
        <w:tc>
          <w:tcPr>
            <w:tcW w:w="1134" w:type="dxa"/>
            <w:vAlign w:val="center"/>
          </w:tcPr>
          <w:p w14:paraId="479020D8" w14:textId="77777777" w:rsidR="003D5A61" w:rsidRPr="00A15862" w:rsidRDefault="003D5A61" w:rsidP="003D5A61">
            <w:pPr>
              <w:keepNext/>
              <w:spacing w:after="120"/>
              <w:jc w:val="right"/>
              <w:cnfStyle w:val="000000000000" w:firstRow="0" w:lastRow="0" w:firstColumn="0" w:lastColumn="0" w:oddVBand="0" w:evenVBand="0" w:oddHBand="0" w:evenHBand="0" w:firstRowFirstColumn="0" w:firstRowLastColumn="0" w:lastRowFirstColumn="0" w:lastRowLastColumn="0"/>
              <w:rPr>
                <w:bCs/>
              </w:rPr>
            </w:pPr>
            <w:r>
              <w:rPr>
                <w:bCs/>
              </w:rPr>
              <w:t>6,110</w:t>
            </w:r>
          </w:p>
        </w:tc>
        <w:tc>
          <w:tcPr>
            <w:tcW w:w="1559" w:type="dxa"/>
            <w:vAlign w:val="center"/>
          </w:tcPr>
          <w:p w14:paraId="7F48C7D2" w14:textId="77777777" w:rsidR="003D5A61" w:rsidRPr="00A15862" w:rsidRDefault="003D5A61" w:rsidP="003D5A61">
            <w:pPr>
              <w:keepNext/>
              <w:spacing w:after="120"/>
              <w:jc w:val="right"/>
              <w:cnfStyle w:val="000000000000" w:firstRow="0" w:lastRow="0" w:firstColumn="0" w:lastColumn="0" w:oddVBand="0" w:evenVBand="0" w:oddHBand="0" w:evenHBand="0" w:firstRowFirstColumn="0" w:firstRowLastColumn="0" w:lastRowFirstColumn="0" w:lastRowLastColumn="0"/>
              <w:rPr>
                <w:bCs/>
              </w:rPr>
            </w:pPr>
            <w:r>
              <w:rPr>
                <w:bCs/>
              </w:rPr>
              <w:t>1.28%</w:t>
            </w:r>
          </w:p>
        </w:tc>
        <w:tc>
          <w:tcPr>
            <w:tcW w:w="1134" w:type="dxa"/>
            <w:vAlign w:val="center"/>
          </w:tcPr>
          <w:p w14:paraId="2626BCD3" w14:textId="77777777" w:rsidR="003D5A61" w:rsidRPr="00A15862" w:rsidRDefault="003D5A61" w:rsidP="003D5A61">
            <w:pPr>
              <w:keepNext/>
              <w:spacing w:after="120"/>
              <w:jc w:val="right"/>
              <w:cnfStyle w:val="000000000000" w:firstRow="0" w:lastRow="0" w:firstColumn="0" w:lastColumn="0" w:oddVBand="0" w:evenVBand="0" w:oddHBand="0" w:evenHBand="0" w:firstRowFirstColumn="0" w:firstRowLastColumn="0" w:lastRowFirstColumn="0" w:lastRowLastColumn="0"/>
              <w:rPr>
                <w:bCs/>
              </w:rPr>
            </w:pPr>
            <w:r>
              <w:rPr>
                <w:bCs/>
              </w:rPr>
              <w:t>6,849</w:t>
            </w:r>
          </w:p>
        </w:tc>
        <w:tc>
          <w:tcPr>
            <w:tcW w:w="1559" w:type="dxa"/>
            <w:vAlign w:val="center"/>
          </w:tcPr>
          <w:p w14:paraId="3726B61B" w14:textId="77777777" w:rsidR="003D5A61" w:rsidRPr="00A15862" w:rsidRDefault="003D5A61" w:rsidP="003D5A61">
            <w:pPr>
              <w:keepNext/>
              <w:spacing w:after="120"/>
              <w:jc w:val="right"/>
              <w:cnfStyle w:val="000000000000" w:firstRow="0" w:lastRow="0" w:firstColumn="0" w:lastColumn="0" w:oddVBand="0" w:evenVBand="0" w:oddHBand="0" w:evenHBand="0" w:firstRowFirstColumn="0" w:firstRowLastColumn="0" w:lastRowFirstColumn="0" w:lastRowLastColumn="0"/>
              <w:rPr>
                <w:bCs/>
              </w:rPr>
            </w:pPr>
            <w:r>
              <w:rPr>
                <w:bCs/>
              </w:rPr>
              <w:t>0.74%</w:t>
            </w:r>
          </w:p>
        </w:tc>
      </w:tr>
      <w:tr w:rsidR="003D5A61" w14:paraId="1F584E7C" w14:textId="77777777" w:rsidTr="003D5A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1D886ECC" w14:textId="77777777" w:rsidR="003D5A61" w:rsidRDefault="003D5A61" w:rsidP="003D5A61">
            <w:pPr>
              <w:keepNext/>
              <w:spacing w:after="120"/>
              <w:rPr>
                <w:b w:val="0"/>
              </w:rPr>
            </w:pPr>
            <w:r>
              <w:rPr>
                <w:b w:val="0"/>
              </w:rPr>
              <w:t>Rotorua District (part in Waikato)</w:t>
            </w:r>
          </w:p>
        </w:tc>
        <w:tc>
          <w:tcPr>
            <w:tcW w:w="1134" w:type="dxa"/>
            <w:vAlign w:val="center"/>
          </w:tcPr>
          <w:p w14:paraId="160F5B22" w14:textId="77777777" w:rsidR="003D5A61" w:rsidRPr="00A15862" w:rsidRDefault="003D5A61" w:rsidP="003D5A61">
            <w:pPr>
              <w:keepNext/>
              <w:spacing w:after="120"/>
              <w:jc w:val="right"/>
              <w:cnfStyle w:val="000000100000" w:firstRow="0" w:lastRow="0" w:firstColumn="0" w:lastColumn="0" w:oddVBand="0" w:evenVBand="0" w:oddHBand="1" w:evenHBand="0" w:firstRowFirstColumn="0" w:firstRowLastColumn="0" w:lastRowFirstColumn="0" w:lastRowLastColumn="0"/>
              <w:rPr>
                <w:bCs/>
              </w:rPr>
            </w:pPr>
            <w:r>
              <w:rPr>
                <w:bCs/>
              </w:rPr>
              <w:t>2,219</w:t>
            </w:r>
          </w:p>
        </w:tc>
        <w:tc>
          <w:tcPr>
            <w:tcW w:w="1134" w:type="dxa"/>
            <w:vAlign w:val="center"/>
          </w:tcPr>
          <w:p w14:paraId="6627E4B7" w14:textId="77777777" w:rsidR="003D5A61" w:rsidRPr="00A15862" w:rsidRDefault="003D5A61" w:rsidP="003D5A61">
            <w:pPr>
              <w:keepNext/>
              <w:spacing w:after="120"/>
              <w:jc w:val="right"/>
              <w:cnfStyle w:val="000000100000" w:firstRow="0" w:lastRow="0" w:firstColumn="0" w:lastColumn="0" w:oddVBand="0" w:evenVBand="0" w:oddHBand="1" w:evenHBand="0" w:firstRowFirstColumn="0" w:firstRowLastColumn="0" w:lastRowFirstColumn="0" w:lastRowLastColumn="0"/>
              <w:rPr>
                <w:bCs/>
              </w:rPr>
            </w:pPr>
            <w:r>
              <w:rPr>
                <w:bCs/>
              </w:rPr>
              <w:t>2,213</w:t>
            </w:r>
          </w:p>
        </w:tc>
        <w:tc>
          <w:tcPr>
            <w:tcW w:w="1559" w:type="dxa"/>
            <w:vAlign w:val="center"/>
          </w:tcPr>
          <w:p w14:paraId="237E379E" w14:textId="77777777" w:rsidR="003D5A61" w:rsidRPr="00A15862" w:rsidRDefault="003D5A61" w:rsidP="003D5A61">
            <w:pPr>
              <w:keepNext/>
              <w:spacing w:after="120"/>
              <w:jc w:val="right"/>
              <w:cnfStyle w:val="000000100000" w:firstRow="0" w:lastRow="0" w:firstColumn="0" w:lastColumn="0" w:oddVBand="0" w:evenVBand="0" w:oddHBand="1" w:evenHBand="0" w:firstRowFirstColumn="0" w:firstRowLastColumn="0" w:lastRowFirstColumn="0" w:lastRowLastColumn="0"/>
              <w:rPr>
                <w:bCs/>
              </w:rPr>
            </w:pPr>
            <w:r>
              <w:rPr>
                <w:bCs/>
              </w:rPr>
              <w:t>-0.01%</w:t>
            </w:r>
          </w:p>
        </w:tc>
        <w:tc>
          <w:tcPr>
            <w:tcW w:w="1134" w:type="dxa"/>
            <w:vAlign w:val="center"/>
          </w:tcPr>
          <w:p w14:paraId="3C287AE5" w14:textId="77777777" w:rsidR="003D5A61" w:rsidRPr="00A15862" w:rsidRDefault="003D5A61" w:rsidP="003D5A61">
            <w:pPr>
              <w:keepNext/>
              <w:spacing w:after="120"/>
              <w:jc w:val="right"/>
              <w:cnfStyle w:val="000000100000" w:firstRow="0" w:lastRow="0" w:firstColumn="0" w:lastColumn="0" w:oddVBand="0" w:evenVBand="0" w:oddHBand="1" w:evenHBand="0" w:firstRowFirstColumn="0" w:firstRowLastColumn="0" w:lastRowFirstColumn="0" w:lastRowLastColumn="0"/>
              <w:rPr>
                <w:bCs/>
              </w:rPr>
            </w:pPr>
            <w:r>
              <w:rPr>
                <w:bCs/>
              </w:rPr>
              <w:t>2,451</w:t>
            </w:r>
          </w:p>
        </w:tc>
        <w:tc>
          <w:tcPr>
            <w:tcW w:w="1559" w:type="dxa"/>
            <w:vAlign w:val="center"/>
          </w:tcPr>
          <w:p w14:paraId="77FF7C81" w14:textId="77777777" w:rsidR="003D5A61" w:rsidRPr="00A15862" w:rsidRDefault="003D5A61" w:rsidP="003D5A61">
            <w:pPr>
              <w:keepNext/>
              <w:spacing w:after="120"/>
              <w:jc w:val="right"/>
              <w:cnfStyle w:val="000000100000" w:firstRow="0" w:lastRow="0" w:firstColumn="0" w:lastColumn="0" w:oddVBand="0" w:evenVBand="0" w:oddHBand="1" w:evenHBand="0" w:firstRowFirstColumn="0" w:firstRowLastColumn="0" w:lastRowFirstColumn="0" w:lastRowLastColumn="0"/>
              <w:rPr>
                <w:bCs/>
              </w:rPr>
            </w:pPr>
            <w:r>
              <w:rPr>
                <w:bCs/>
              </w:rPr>
              <w:t>0.20%</w:t>
            </w:r>
          </w:p>
        </w:tc>
      </w:tr>
      <w:tr w:rsidR="003D5A61" w14:paraId="37899E2D" w14:textId="77777777" w:rsidTr="003D5A61">
        <w:tc>
          <w:tcPr>
            <w:cnfStyle w:val="001000000000" w:firstRow="0" w:lastRow="0" w:firstColumn="1" w:lastColumn="0" w:oddVBand="0" w:evenVBand="0" w:oddHBand="0" w:evenHBand="0" w:firstRowFirstColumn="0" w:firstRowLastColumn="0" w:lastRowFirstColumn="0" w:lastRowLastColumn="0"/>
            <w:tcW w:w="3256" w:type="dxa"/>
            <w:shd w:val="clear" w:color="auto" w:fill="C00000"/>
          </w:tcPr>
          <w:p w14:paraId="19C7BAFF" w14:textId="77777777" w:rsidR="003D5A61" w:rsidRDefault="003D5A61" w:rsidP="003D5A61">
            <w:pPr>
              <w:keepNext/>
              <w:spacing w:after="120"/>
              <w:rPr>
                <w:b w:val="0"/>
              </w:rPr>
            </w:pPr>
            <w:r>
              <w:rPr>
                <w:b w:val="0"/>
              </w:rPr>
              <w:t>Total</w:t>
            </w:r>
          </w:p>
        </w:tc>
        <w:tc>
          <w:tcPr>
            <w:tcW w:w="1134" w:type="dxa"/>
            <w:shd w:val="clear" w:color="auto" w:fill="E5B8B7" w:themeFill="accent2" w:themeFillTint="66"/>
            <w:vAlign w:val="center"/>
          </w:tcPr>
          <w:p w14:paraId="1E5D9B36" w14:textId="77777777" w:rsidR="003D5A61" w:rsidRPr="00A15862" w:rsidRDefault="003D5A61" w:rsidP="003D5A61">
            <w:pPr>
              <w:keepNext/>
              <w:spacing w:after="120"/>
              <w:jc w:val="right"/>
              <w:cnfStyle w:val="000000000000" w:firstRow="0" w:lastRow="0" w:firstColumn="0" w:lastColumn="0" w:oddVBand="0" w:evenVBand="0" w:oddHBand="0" w:evenHBand="0" w:firstRowFirstColumn="0" w:firstRowLastColumn="0" w:lastRowFirstColumn="0" w:lastRowLastColumn="0"/>
              <w:rPr>
                <w:bCs/>
              </w:rPr>
            </w:pPr>
            <w:r>
              <w:rPr>
                <w:bCs/>
              </w:rPr>
              <w:t>227,055</w:t>
            </w:r>
          </w:p>
        </w:tc>
        <w:tc>
          <w:tcPr>
            <w:tcW w:w="1134" w:type="dxa"/>
            <w:shd w:val="clear" w:color="auto" w:fill="E5B8B7" w:themeFill="accent2" w:themeFillTint="66"/>
            <w:vAlign w:val="center"/>
          </w:tcPr>
          <w:p w14:paraId="0818208A" w14:textId="77777777" w:rsidR="003D5A61" w:rsidRPr="00A15862" w:rsidRDefault="003D5A61" w:rsidP="003D5A61">
            <w:pPr>
              <w:keepNext/>
              <w:spacing w:after="120"/>
              <w:jc w:val="right"/>
              <w:cnfStyle w:val="000000000000" w:firstRow="0" w:lastRow="0" w:firstColumn="0" w:lastColumn="0" w:oddVBand="0" w:evenVBand="0" w:oddHBand="0" w:evenHBand="0" w:firstRowFirstColumn="0" w:firstRowLastColumn="0" w:lastRowFirstColumn="0" w:lastRowLastColumn="0"/>
              <w:rPr>
                <w:bCs/>
              </w:rPr>
            </w:pPr>
            <w:r>
              <w:rPr>
                <w:bCs/>
              </w:rPr>
              <w:t>300,235</w:t>
            </w:r>
          </w:p>
        </w:tc>
        <w:tc>
          <w:tcPr>
            <w:tcW w:w="1559" w:type="dxa"/>
            <w:shd w:val="clear" w:color="auto" w:fill="E5B8B7" w:themeFill="accent2" w:themeFillTint="66"/>
            <w:vAlign w:val="center"/>
          </w:tcPr>
          <w:p w14:paraId="20A51145" w14:textId="77777777" w:rsidR="003D5A61" w:rsidRPr="00A15862" w:rsidRDefault="003D5A61" w:rsidP="003D5A61">
            <w:pPr>
              <w:keepNext/>
              <w:spacing w:after="120"/>
              <w:jc w:val="right"/>
              <w:cnfStyle w:val="000000000000" w:firstRow="0" w:lastRow="0" w:firstColumn="0" w:lastColumn="0" w:oddVBand="0" w:evenVBand="0" w:oddHBand="0" w:evenHBand="0" w:firstRowFirstColumn="0" w:firstRowLastColumn="0" w:lastRowFirstColumn="0" w:lastRowLastColumn="0"/>
              <w:rPr>
                <w:bCs/>
              </w:rPr>
            </w:pPr>
            <w:r>
              <w:rPr>
                <w:bCs/>
              </w:rPr>
              <w:t>1.41%</w:t>
            </w:r>
          </w:p>
        </w:tc>
        <w:tc>
          <w:tcPr>
            <w:tcW w:w="1134" w:type="dxa"/>
            <w:shd w:val="clear" w:color="auto" w:fill="E5B8B7" w:themeFill="accent2" w:themeFillTint="66"/>
            <w:vAlign w:val="center"/>
          </w:tcPr>
          <w:p w14:paraId="77945450" w14:textId="77777777" w:rsidR="003D5A61" w:rsidRPr="00A15862" w:rsidRDefault="003D5A61" w:rsidP="003D5A61">
            <w:pPr>
              <w:keepNext/>
              <w:spacing w:after="120"/>
              <w:jc w:val="right"/>
              <w:cnfStyle w:val="000000000000" w:firstRow="0" w:lastRow="0" w:firstColumn="0" w:lastColumn="0" w:oddVBand="0" w:evenVBand="0" w:oddHBand="0" w:evenHBand="0" w:firstRowFirstColumn="0" w:firstRowLastColumn="0" w:lastRowFirstColumn="0" w:lastRowLastColumn="0"/>
              <w:rPr>
                <w:bCs/>
              </w:rPr>
            </w:pPr>
            <w:r>
              <w:rPr>
                <w:bCs/>
              </w:rPr>
              <w:t>364,425</w:t>
            </w:r>
          </w:p>
        </w:tc>
        <w:tc>
          <w:tcPr>
            <w:tcW w:w="1559" w:type="dxa"/>
            <w:shd w:val="clear" w:color="auto" w:fill="E5B8B7" w:themeFill="accent2" w:themeFillTint="66"/>
            <w:vAlign w:val="center"/>
          </w:tcPr>
          <w:p w14:paraId="10736F83" w14:textId="77777777" w:rsidR="003D5A61" w:rsidRPr="00A15862" w:rsidRDefault="003D5A61" w:rsidP="003D5A61">
            <w:pPr>
              <w:keepNext/>
              <w:spacing w:after="120"/>
              <w:jc w:val="right"/>
              <w:cnfStyle w:val="000000000000" w:firstRow="0" w:lastRow="0" w:firstColumn="0" w:lastColumn="0" w:oddVBand="0" w:evenVBand="0" w:oddHBand="0" w:evenHBand="0" w:firstRowFirstColumn="0" w:firstRowLastColumn="0" w:lastRowFirstColumn="0" w:lastRowLastColumn="0"/>
              <w:rPr>
                <w:bCs/>
              </w:rPr>
            </w:pPr>
            <w:r>
              <w:rPr>
                <w:bCs/>
              </w:rPr>
              <w:t>0.95%</w:t>
            </w:r>
          </w:p>
        </w:tc>
      </w:tr>
    </w:tbl>
    <w:p w14:paraId="3585F6EB" w14:textId="77777777" w:rsidR="003D5A61" w:rsidRPr="00AF12AE" w:rsidRDefault="003D5A61" w:rsidP="003D5A61">
      <w:pPr>
        <w:rPr>
          <w:sz w:val="16"/>
          <w:szCs w:val="16"/>
        </w:rPr>
      </w:pPr>
      <w:r w:rsidRPr="00BD2BFC">
        <w:rPr>
          <w:sz w:val="16"/>
          <w:szCs w:val="16"/>
        </w:rPr>
        <w:t>Notes: MECs = Modified Employment Counts</w:t>
      </w:r>
      <w:r>
        <w:rPr>
          <w:sz w:val="16"/>
          <w:szCs w:val="16"/>
        </w:rPr>
        <w:t>. This is a measure of the number of employees within an industry based on Statistic New Zealand’s Employment Count measure but modified to take account estimates of the number of working proprietors within each industry.</w:t>
      </w:r>
    </w:p>
    <w:p w14:paraId="6F5E75A7" w14:textId="2C391B4B" w:rsidR="003D5A61" w:rsidRDefault="003D5A61" w:rsidP="003D5A61">
      <w:r>
        <w:t xml:space="preserve">For a few </w:t>
      </w:r>
      <w:r w:rsidR="00D23C33">
        <w:t>TAs</w:t>
      </w:r>
      <w:r>
        <w:t xml:space="preserve"> in Waikato </w:t>
      </w:r>
      <w:r w:rsidRPr="0029660F">
        <w:t xml:space="preserve">Region, Agriculture, Forestry and Fishing is </w:t>
      </w:r>
      <w:r>
        <w:t xml:space="preserve">one of </w:t>
      </w:r>
      <w:r w:rsidRPr="0029660F">
        <w:t>th</w:t>
      </w:r>
      <w:r>
        <w:t xml:space="preserve">e dominant industries in employment </w:t>
      </w:r>
      <w:r w:rsidRPr="00B35E21">
        <w:t>terms</w:t>
      </w:r>
      <w:r w:rsidR="008077B9">
        <w:t xml:space="preserve">: </w:t>
      </w:r>
      <w:r w:rsidRPr="00B35E21">
        <w:t xml:space="preserve">Waipa District, Waikato District, South Waikato District, Hauraki District, Waitomo District, and Ōtorohanga District. There are only four </w:t>
      </w:r>
      <w:r w:rsidR="00D23C33">
        <w:t>TAs</w:t>
      </w:r>
      <w:r>
        <w:t xml:space="preserve"> in which Agriculture, Forestry and Fishing is not one of the dominant industries. These </w:t>
      </w:r>
      <w:r w:rsidR="00D23C33">
        <w:t>TAs</w:t>
      </w:r>
      <w:r>
        <w:t xml:space="preserve"> are</w:t>
      </w:r>
      <w:r w:rsidRPr="00B35E21">
        <w:t xml:space="preserve"> Hamilton City</w:t>
      </w:r>
      <w:r w:rsidR="008077B9">
        <w:t>, which</w:t>
      </w:r>
      <w:r w:rsidRPr="00B35E21">
        <w:t xml:space="preserve"> employs most of its workforce in Health Care and Social Assistance; in</w:t>
      </w:r>
      <w:r w:rsidRPr="0029660F">
        <w:t xml:space="preserve"> Taupō District, Accommodation and Food Services is the</w:t>
      </w:r>
      <w:r>
        <w:t xml:space="preserve"> dominant </w:t>
      </w:r>
      <w:r w:rsidRPr="0029660F">
        <w:t>industry</w:t>
      </w:r>
      <w:r>
        <w:t xml:space="preserve">; </w:t>
      </w:r>
      <w:r w:rsidRPr="0029660F">
        <w:t>in Matamata-Piako District, Manufacturing is</w:t>
      </w:r>
      <w:r>
        <w:t xml:space="preserve"> </w:t>
      </w:r>
      <w:r w:rsidRPr="0029660F">
        <w:t>the dominant</w:t>
      </w:r>
      <w:r>
        <w:t xml:space="preserve"> industry</w:t>
      </w:r>
      <w:r w:rsidRPr="0029660F">
        <w:t>; in Thames-Coromandel District, Retail Trade and Accommodation and</w:t>
      </w:r>
      <w:r>
        <w:t xml:space="preserve"> Food Services are the dominant industries.</w:t>
      </w:r>
    </w:p>
    <w:p w14:paraId="15D4712B" w14:textId="7D9B153B" w:rsidR="003D5A61" w:rsidRDefault="003D5A61" w:rsidP="003D5A61">
      <w:r w:rsidRPr="008C5E60">
        <w:t>The</w:t>
      </w:r>
      <w:r>
        <w:t xml:space="preserve"> employment by industry projections in the ten Waikato Region </w:t>
      </w:r>
      <w:r w:rsidR="00D23C33">
        <w:t>TAs</w:t>
      </w:r>
      <w:r>
        <w:rPr>
          <w:rStyle w:val="FootnoteReference"/>
        </w:rPr>
        <w:footnoteReference w:id="5"/>
      </w:r>
      <w:r>
        <w:t xml:space="preserve"> are presented in Figure 4. This enables a comparison of the main employment trends in each </w:t>
      </w:r>
      <w:r w:rsidR="00D23C33">
        <w:t>TA</w:t>
      </w:r>
      <w:r>
        <w:t xml:space="preserve"> and projected changes. The employment data presented between 2018 and 2020 is actual data, whereas the data from 2021 to 2068 is projected from the modelling.  This comparable graphic clearly shows the </w:t>
      </w:r>
      <w:r w:rsidR="00D23C33">
        <w:t>TAs</w:t>
      </w:r>
      <w:r>
        <w:t xml:space="preserve"> where there are one or two dominant </w:t>
      </w:r>
      <w:r w:rsidRPr="0071442A">
        <w:t>industries (e.g., Waikato District and Ōtorohanga District District), and</w:t>
      </w:r>
      <w:r>
        <w:t xml:space="preserve"> those with more diversified industry employment (e.</w:t>
      </w:r>
      <w:r w:rsidRPr="0071442A">
        <w:t>g., Taupō District and Thames-Coromandel District</w:t>
      </w:r>
      <w:r>
        <w:t>). We refer to the Section 3.3 for a more detailed discussion on the TA-level projections.</w:t>
      </w:r>
    </w:p>
    <w:p w14:paraId="12064EDF" w14:textId="77777777" w:rsidR="003D5A61" w:rsidRDefault="003D5A61" w:rsidP="003D5A61">
      <w:pPr>
        <w:sectPr w:rsidR="003D5A61" w:rsidSect="008C5E60">
          <w:pgSz w:w="11906" w:h="16838"/>
          <w:pgMar w:top="1440" w:right="1440" w:bottom="1440" w:left="1440" w:header="708" w:footer="708" w:gutter="0"/>
          <w:cols w:space="708"/>
          <w:docGrid w:linePitch="360"/>
        </w:sectPr>
      </w:pPr>
    </w:p>
    <w:p w14:paraId="56F42D84" w14:textId="1B47807D" w:rsidR="003D5A61" w:rsidRPr="003C3061" w:rsidRDefault="003D5A61" w:rsidP="003D5A61">
      <w:pPr>
        <w:rPr>
          <w:b/>
        </w:rPr>
      </w:pPr>
      <w:r w:rsidRPr="004A4D7D">
        <w:rPr>
          <w:b/>
        </w:rPr>
        <w:lastRenderedPageBreak/>
        <w:t>Figure 4</w:t>
      </w:r>
      <w:r>
        <w:rPr>
          <w:b/>
        </w:rPr>
        <w:t xml:space="preserve"> Projected Employment by Industry in Waikato Region’s Territorial </w:t>
      </w:r>
      <w:r w:rsidR="00FC6558">
        <w:rPr>
          <w:b/>
        </w:rPr>
        <w:t xml:space="preserve">Local </w:t>
      </w:r>
      <w:r>
        <w:rPr>
          <w:b/>
        </w:rPr>
        <w:t>Authorities</w:t>
      </w:r>
      <w:r w:rsidR="00FC6558">
        <w:rPr>
          <w:b/>
        </w:rPr>
        <w:t xml:space="preserve"> under a High Growth Scenario</w:t>
      </w:r>
      <w:r>
        <w:rPr>
          <w:b/>
        </w:rPr>
        <w:t>, 2018 to 2068</w:t>
      </w:r>
    </w:p>
    <w:p w14:paraId="70830BF3" w14:textId="2C10AF93" w:rsidR="003D5A61" w:rsidRPr="00AF573F" w:rsidRDefault="003D5A61" w:rsidP="003D5A61">
      <w:r>
        <w:rPr>
          <w:noProof/>
        </w:rPr>
        <w:drawing>
          <wp:inline distT="0" distB="0" distL="0" distR="0" wp14:anchorId="215EC340" wp14:editId="4B75349B">
            <wp:extent cx="13277850" cy="776287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277850" cy="7762875"/>
                    </a:xfrm>
                    <a:prstGeom prst="rect">
                      <a:avLst/>
                    </a:prstGeom>
                    <a:noFill/>
                    <a:ln>
                      <a:noFill/>
                    </a:ln>
                  </pic:spPr>
                </pic:pic>
              </a:graphicData>
            </a:graphic>
          </wp:inline>
        </w:drawing>
      </w:r>
      <w:r>
        <w:rPr>
          <w:sz w:val="18"/>
          <w:szCs w:val="18"/>
        </w:rPr>
        <w:t xml:space="preserve">Note: The vertical scale on each line charts varies. The employment figures for 2018 through to 2020 are actuals derived from </w:t>
      </w:r>
      <w:proofErr w:type="spellStart"/>
      <w:r w:rsidR="00981F9D">
        <w:rPr>
          <w:sz w:val="18"/>
          <w:szCs w:val="18"/>
        </w:rPr>
        <w:t>StatsNZ</w:t>
      </w:r>
      <w:r>
        <w:rPr>
          <w:sz w:val="18"/>
          <w:szCs w:val="18"/>
        </w:rPr>
        <w:t>’s</w:t>
      </w:r>
      <w:proofErr w:type="spellEnd"/>
      <w:r>
        <w:rPr>
          <w:sz w:val="18"/>
          <w:szCs w:val="18"/>
        </w:rPr>
        <w:t xml:space="preserve"> 2020 Business Directory.</w:t>
      </w:r>
    </w:p>
    <w:p w14:paraId="6E6E51CD" w14:textId="77777777" w:rsidR="003D5A61" w:rsidRDefault="003D5A61" w:rsidP="003D5A61">
      <w:pPr>
        <w:sectPr w:rsidR="003D5A61" w:rsidSect="008C5E60">
          <w:pgSz w:w="23808" w:h="16840" w:orient="landscape" w:code="8"/>
          <w:pgMar w:top="1440" w:right="1440" w:bottom="1440" w:left="1440" w:header="709" w:footer="709" w:gutter="0"/>
          <w:cols w:space="708"/>
          <w:docGrid w:linePitch="360"/>
        </w:sectPr>
      </w:pPr>
    </w:p>
    <w:p w14:paraId="19450E4D" w14:textId="77777777" w:rsidR="003D5A61" w:rsidRDefault="003D5A61" w:rsidP="003D5A61">
      <w:pPr>
        <w:pStyle w:val="Heading2"/>
      </w:pPr>
      <w:bookmarkStart w:id="14" w:name="_Toc70694889"/>
      <w:r>
        <w:lastRenderedPageBreak/>
        <w:t>Value Added</w:t>
      </w:r>
      <w:bookmarkEnd w:id="14"/>
    </w:p>
    <w:p w14:paraId="094257F3" w14:textId="161AFC15" w:rsidR="003D5A61" w:rsidRDefault="003D5A61" w:rsidP="003D5A61">
      <w:pPr>
        <w:rPr>
          <w:b/>
        </w:rPr>
      </w:pPr>
      <w:r w:rsidRPr="00FE2D20">
        <w:t xml:space="preserve">Table </w:t>
      </w:r>
      <w:r>
        <w:t xml:space="preserve">2 shows the relative size of each </w:t>
      </w:r>
      <w:r w:rsidR="00D23C33">
        <w:t>TA</w:t>
      </w:r>
      <w:r>
        <w:t xml:space="preserve"> in terms of value added contribution, in 2018, 2038, and in 2068. It also shows the compound annual growth rates for each </w:t>
      </w:r>
      <w:r w:rsidR="00D23C33">
        <w:t>TA</w:t>
      </w:r>
      <w:r>
        <w:t xml:space="preserve"> between 2018 and 2038, and then between 2018 and 2068. There are higher growth rates in value added within the next twenty years in all the </w:t>
      </w:r>
      <w:r w:rsidR="00D23C33">
        <w:t>TA</w:t>
      </w:r>
      <w:r w:rsidR="00FC6558">
        <w:t>s</w:t>
      </w:r>
      <w:r>
        <w:t xml:space="preserve">, in comparison to the following period from 2018 to 2068. </w:t>
      </w:r>
      <w:r w:rsidRPr="00FE2D20">
        <w:t xml:space="preserve">Table </w:t>
      </w:r>
      <w:r>
        <w:t xml:space="preserve">2 shows that </w:t>
      </w:r>
      <w:r w:rsidRPr="00951940">
        <w:t xml:space="preserve">Waikato District has the highest compounded annual growth rate, with South Waikato District the lowest (excluding </w:t>
      </w:r>
      <w:r>
        <w:t xml:space="preserve">the part of </w:t>
      </w:r>
      <w:r w:rsidRPr="00951940">
        <w:t>Rotorua District</w:t>
      </w:r>
      <w:r>
        <w:t xml:space="preserve"> that is in Waikato Region</w:t>
      </w:r>
      <w:r w:rsidRPr="00951940">
        <w:t>).</w:t>
      </w:r>
    </w:p>
    <w:p w14:paraId="5134ACB0" w14:textId="623AB746" w:rsidR="003D5A61" w:rsidRDefault="003D5A61" w:rsidP="003D5A61">
      <w:pPr>
        <w:keepNext/>
        <w:spacing w:after="120"/>
        <w:ind w:left="1134" w:hanging="1134"/>
        <w:rPr>
          <w:b/>
        </w:rPr>
      </w:pPr>
      <w:r w:rsidRPr="00FE2D20">
        <w:rPr>
          <w:b/>
        </w:rPr>
        <w:t xml:space="preserve">Table </w:t>
      </w:r>
      <w:r>
        <w:rPr>
          <w:b/>
        </w:rPr>
        <w:t xml:space="preserve">2 Total Growth in </w:t>
      </w:r>
      <w:r w:rsidR="00FC6558">
        <w:rPr>
          <w:b/>
        </w:rPr>
        <w:t>V</w:t>
      </w:r>
      <w:r>
        <w:rPr>
          <w:b/>
        </w:rPr>
        <w:t xml:space="preserve">alue </w:t>
      </w:r>
      <w:r w:rsidR="00FC6558">
        <w:rPr>
          <w:b/>
        </w:rPr>
        <w:t>A</w:t>
      </w:r>
      <w:r>
        <w:rPr>
          <w:b/>
        </w:rPr>
        <w:t>dded by Territorial Authority</w:t>
      </w:r>
      <w:r w:rsidR="00FC6558">
        <w:rPr>
          <w:b/>
        </w:rPr>
        <w:t xml:space="preserve"> under a High Growth Scenario</w:t>
      </w:r>
      <w:r>
        <w:rPr>
          <w:b/>
        </w:rPr>
        <w:t>, 2018 to 2038, and 2018 to 2068</w:t>
      </w:r>
    </w:p>
    <w:tbl>
      <w:tblPr>
        <w:tblStyle w:val="GridTable5Dark-Accent5"/>
        <w:tblW w:w="10060" w:type="dxa"/>
        <w:tblLayout w:type="fixed"/>
        <w:tblLook w:val="04A0" w:firstRow="1" w:lastRow="0" w:firstColumn="1" w:lastColumn="0" w:noHBand="0" w:noVBand="1"/>
      </w:tblPr>
      <w:tblGrid>
        <w:gridCol w:w="3256"/>
        <w:gridCol w:w="1275"/>
        <w:gridCol w:w="1276"/>
        <w:gridCol w:w="1559"/>
        <w:gridCol w:w="1134"/>
        <w:gridCol w:w="1560"/>
      </w:tblGrid>
      <w:tr w:rsidR="003D5A61" w14:paraId="5CEB239E" w14:textId="77777777" w:rsidTr="003D5A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shd w:val="clear" w:color="auto" w:fill="31849B" w:themeFill="accent5" w:themeFillShade="BF"/>
            <w:vAlign w:val="center"/>
          </w:tcPr>
          <w:p w14:paraId="6CD1CA9B" w14:textId="77777777" w:rsidR="003D5A61" w:rsidRDefault="003D5A61" w:rsidP="003D5A61">
            <w:pPr>
              <w:keepNext/>
              <w:spacing w:after="120"/>
              <w:jc w:val="center"/>
              <w:rPr>
                <w:b w:val="0"/>
              </w:rPr>
            </w:pPr>
            <w:bookmarkStart w:id="15" w:name="_Hlk69723356"/>
            <w:r>
              <w:rPr>
                <w:b w:val="0"/>
              </w:rPr>
              <w:t>Territorial Authority</w:t>
            </w:r>
          </w:p>
        </w:tc>
        <w:tc>
          <w:tcPr>
            <w:tcW w:w="1275" w:type="dxa"/>
            <w:shd w:val="clear" w:color="auto" w:fill="31849B" w:themeFill="accent5" w:themeFillShade="BF"/>
            <w:vAlign w:val="center"/>
          </w:tcPr>
          <w:p w14:paraId="47568103" w14:textId="77777777" w:rsidR="003D5A61" w:rsidRPr="000D1FE8" w:rsidRDefault="003D5A61" w:rsidP="003D5A61">
            <w:pPr>
              <w:keepNext/>
              <w:spacing w:after="120"/>
              <w:jc w:val="center"/>
              <w:cnfStyle w:val="100000000000" w:firstRow="1" w:lastRow="0" w:firstColumn="0" w:lastColumn="0" w:oddVBand="0" w:evenVBand="0" w:oddHBand="0" w:evenHBand="0" w:firstRowFirstColumn="0" w:firstRowLastColumn="0" w:lastRowFirstColumn="0" w:lastRowLastColumn="0"/>
              <w:rPr>
                <w:b w:val="0"/>
                <w:highlight w:val="yellow"/>
              </w:rPr>
            </w:pPr>
            <w:r w:rsidRPr="000D1FE8">
              <w:rPr>
                <w:b w:val="0"/>
              </w:rPr>
              <w:t>Actual VA in 2018 (</w:t>
            </w:r>
            <w:r w:rsidRPr="000D1FE8">
              <w:rPr>
                <w:b w:val="0"/>
                <w:bCs w:val="0"/>
              </w:rPr>
              <w:t>$</w:t>
            </w:r>
            <w:r w:rsidRPr="000D1FE8">
              <w:rPr>
                <w:b w:val="0"/>
                <w:bCs w:val="0"/>
                <w:vertAlign w:val="subscript"/>
              </w:rPr>
              <w:t>2018</w:t>
            </w:r>
            <w:r w:rsidRPr="000D1FE8">
              <w:rPr>
                <w:b w:val="0"/>
                <w:bCs w:val="0"/>
              </w:rPr>
              <w:t>m</w:t>
            </w:r>
            <w:r w:rsidRPr="000D1FE8">
              <w:rPr>
                <w:b w:val="0"/>
              </w:rPr>
              <w:t>)</w:t>
            </w:r>
          </w:p>
        </w:tc>
        <w:tc>
          <w:tcPr>
            <w:tcW w:w="1276" w:type="dxa"/>
            <w:shd w:val="clear" w:color="auto" w:fill="31849B" w:themeFill="accent5" w:themeFillShade="BF"/>
            <w:vAlign w:val="center"/>
          </w:tcPr>
          <w:p w14:paraId="5CA02EB9" w14:textId="77777777" w:rsidR="003D5A61" w:rsidRDefault="003D5A61" w:rsidP="003D5A61">
            <w:pPr>
              <w:keepNext/>
              <w:spacing w:after="120"/>
              <w:jc w:val="center"/>
              <w:cnfStyle w:val="100000000000" w:firstRow="1" w:lastRow="0" w:firstColumn="0" w:lastColumn="0" w:oddVBand="0" w:evenVBand="0" w:oddHBand="0" w:evenHBand="0" w:firstRowFirstColumn="0" w:firstRowLastColumn="0" w:lastRowFirstColumn="0" w:lastRowLastColumn="0"/>
              <w:rPr>
                <w:b w:val="0"/>
              </w:rPr>
            </w:pPr>
            <w:r>
              <w:rPr>
                <w:b w:val="0"/>
              </w:rPr>
              <w:t>Projected VA in 2038 (</w:t>
            </w:r>
            <w:r w:rsidRPr="000D1FE8">
              <w:rPr>
                <w:b w:val="0"/>
                <w:bCs w:val="0"/>
              </w:rPr>
              <w:t>$</w:t>
            </w:r>
            <w:r w:rsidRPr="000D1FE8">
              <w:rPr>
                <w:b w:val="0"/>
                <w:bCs w:val="0"/>
                <w:vertAlign w:val="subscript"/>
              </w:rPr>
              <w:t>2018</w:t>
            </w:r>
            <w:r w:rsidRPr="000D1FE8">
              <w:rPr>
                <w:b w:val="0"/>
                <w:bCs w:val="0"/>
              </w:rPr>
              <w:t>m</w:t>
            </w:r>
            <w:r>
              <w:rPr>
                <w:b w:val="0"/>
              </w:rPr>
              <w:t>)</w:t>
            </w:r>
          </w:p>
        </w:tc>
        <w:tc>
          <w:tcPr>
            <w:tcW w:w="1559" w:type="dxa"/>
            <w:shd w:val="clear" w:color="auto" w:fill="31849B" w:themeFill="accent5" w:themeFillShade="BF"/>
            <w:vAlign w:val="center"/>
          </w:tcPr>
          <w:p w14:paraId="082D58DC" w14:textId="77777777" w:rsidR="003D5A61" w:rsidRDefault="003D5A61" w:rsidP="003D5A61">
            <w:pPr>
              <w:keepNext/>
              <w:spacing w:after="120"/>
              <w:jc w:val="center"/>
              <w:cnfStyle w:val="100000000000" w:firstRow="1" w:lastRow="0" w:firstColumn="0" w:lastColumn="0" w:oddVBand="0" w:evenVBand="0" w:oddHBand="0" w:evenHBand="0" w:firstRowFirstColumn="0" w:firstRowLastColumn="0" w:lastRowFirstColumn="0" w:lastRowLastColumn="0"/>
              <w:rPr>
                <w:b w:val="0"/>
              </w:rPr>
            </w:pPr>
            <w:r>
              <w:rPr>
                <w:b w:val="0"/>
              </w:rPr>
              <w:t>Compounded Annual Growth Rate (2018-2038)</w:t>
            </w:r>
          </w:p>
        </w:tc>
        <w:tc>
          <w:tcPr>
            <w:tcW w:w="1134" w:type="dxa"/>
            <w:shd w:val="clear" w:color="auto" w:fill="31849B" w:themeFill="accent5" w:themeFillShade="BF"/>
            <w:vAlign w:val="center"/>
          </w:tcPr>
          <w:p w14:paraId="4EB6A7BE" w14:textId="77777777" w:rsidR="003D5A61" w:rsidRDefault="003D5A61" w:rsidP="003D5A61">
            <w:pPr>
              <w:keepNext/>
              <w:spacing w:after="120"/>
              <w:jc w:val="center"/>
              <w:cnfStyle w:val="100000000000" w:firstRow="1" w:lastRow="0" w:firstColumn="0" w:lastColumn="0" w:oddVBand="0" w:evenVBand="0" w:oddHBand="0" w:evenHBand="0" w:firstRowFirstColumn="0" w:firstRowLastColumn="0" w:lastRowFirstColumn="0" w:lastRowLastColumn="0"/>
              <w:rPr>
                <w:b w:val="0"/>
              </w:rPr>
            </w:pPr>
            <w:r>
              <w:rPr>
                <w:b w:val="0"/>
              </w:rPr>
              <w:t>Projected VA in 2068 (</w:t>
            </w:r>
            <w:r w:rsidRPr="000D1FE8">
              <w:rPr>
                <w:b w:val="0"/>
                <w:bCs w:val="0"/>
              </w:rPr>
              <w:t>$</w:t>
            </w:r>
            <w:r w:rsidRPr="000D1FE8">
              <w:rPr>
                <w:b w:val="0"/>
                <w:bCs w:val="0"/>
                <w:vertAlign w:val="subscript"/>
              </w:rPr>
              <w:t>2018</w:t>
            </w:r>
            <w:r w:rsidRPr="000D1FE8">
              <w:rPr>
                <w:b w:val="0"/>
                <w:bCs w:val="0"/>
              </w:rPr>
              <w:t>m</w:t>
            </w:r>
            <w:r>
              <w:rPr>
                <w:b w:val="0"/>
              </w:rPr>
              <w:t>)</w:t>
            </w:r>
          </w:p>
        </w:tc>
        <w:tc>
          <w:tcPr>
            <w:tcW w:w="1560" w:type="dxa"/>
            <w:shd w:val="clear" w:color="auto" w:fill="31849B" w:themeFill="accent5" w:themeFillShade="BF"/>
            <w:vAlign w:val="center"/>
          </w:tcPr>
          <w:p w14:paraId="504E0A3A" w14:textId="77777777" w:rsidR="003D5A61" w:rsidRDefault="003D5A61" w:rsidP="003D5A61">
            <w:pPr>
              <w:keepNext/>
              <w:spacing w:after="120"/>
              <w:jc w:val="center"/>
              <w:cnfStyle w:val="100000000000" w:firstRow="1" w:lastRow="0" w:firstColumn="0" w:lastColumn="0" w:oddVBand="0" w:evenVBand="0" w:oddHBand="0" w:evenHBand="0" w:firstRowFirstColumn="0" w:firstRowLastColumn="0" w:lastRowFirstColumn="0" w:lastRowLastColumn="0"/>
              <w:rPr>
                <w:b w:val="0"/>
              </w:rPr>
            </w:pPr>
            <w:r>
              <w:rPr>
                <w:b w:val="0"/>
              </w:rPr>
              <w:t>Compounded Annual Growth Rate (2018-2068)</w:t>
            </w:r>
          </w:p>
        </w:tc>
      </w:tr>
      <w:tr w:rsidR="003D5A61" w14:paraId="75FF010D" w14:textId="77777777" w:rsidTr="003D5A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43C2485A" w14:textId="77777777" w:rsidR="003D5A61" w:rsidRDefault="003D5A61" w:rsidP="003D5A61">
            <w:pPr>
              <w:keepNext/>
              <w:spacing w:after="120"/>
              <w:rPr>
                <w:b w:val="0"/>
              </w:rPr>
            </w:pPr>
            <w:r>
              <w:rPr>
                <w:b w:val="0"/>
              </w:rPr>
              <w:t>Hamilton City</w:t>
            </w:r>
          </w:p>
        </w:tc>
        <w:tc>
          <w:tcPr>
            <w:tcW w:w="1275" w:type="dxa"/>
            <w:vAlign w:val="center"/>
          </w:tcPr>
          <w:p w14:paraId="0F5E8A60" w14:textId="77777777" w:rsidR="003D5A61" w:rsidRPr="00A71E70" w:rsidRDefault="003D5A61" w:rsidP="003D5A61">
            <w:pPr>
              <w:keepNext/>
              <w:spacing w:after="120"/>
              <w:jc w:val="right"/>
              <w:cnfStyle w:val="000000100000" w:firstRow="0" w:lastRow="0" w:firstColumn="0" w:lastColumn="0" w:oddVBand="0" w:evenVBand="0" w:oddHBand="1" w:evenHBand="0" w:firstRowFirstColumn="0" w:firstRowLastColumn="0" w:lastRowFirstColumn="0" w:lastRowLastColumn="0"/>
              <w:rPr>
                <w:bCs/>
              </w:rPr>
            </w:pPr>
            <w:r>
              <w:rPr>
                <w:bCs/>
              </w:rPr>
              <w:t>8,448</w:t>
            </w:r>
          </w:p>
        </w:tc>
        <w:tc>
          <w:tcPr>
            <w:tcW w:w="1276" w:type="dxa"/>
            <w:vAlign w:val="center"/>
          </w:tcPr>
          <w:p w14:paraId="38EF4B02" w14:textId="77777777" w:rsidR="003D5A61" w:rsidRPr="00A71E70" w:rsidRDefault="003D5A61" w:rsidP="003D5A61">
            <w:pPr>
              <w:keepNext/>
              <w:spacing w:after="120"/>
              <w:jc w:val="right"/>
              <w:cnfStyle w:val="000000100000" w:firstRow="0" w:lastRow="0" w:firstColumn="0" w:lastColumn="0" w:oddVBand="0" w:evenVBand="0" w:oddHBand="1" w:evenHBand="0" w:firstRowFirstColumn="0" w:firstRowLastColumn="0" w:lastRowFirstColumn="0" w:lastRowLastColumn="0"/>
              <w:rPr>
                <w:bCs/>
              </w:rPr>
            </w:pPr>
            <w:r>
              <w:rPr>
                <w:bCs/>
              </w:rPr>
              <w:t>12,477</w:t>
            </w:r>
          </w:p>
        </w:tc>
        <w:tc>
          <w:tcPr>
            <w:tcW w:w="1559" w:type="dxa"/>
            <w:vAlign w:val="center"/>
          </w:tcPr>
          <w:p w14:paraId="4F1D662A" w14:textId="77777777" w:rsidR="003D5A61" w:rsidRPr="00A71E70" w:rsidRDefault="003D5A61" w:rsidP="003D5A61">
            <w:pPr>
              <w:keepNext/>
              <w:spacing w:after="120"/>
              <w:jc w:val="right"/>
              <w:cnfStyle w:val="000000100000" w:firstRow="0" w:lastRow="0" w:firstColumn="0" w:lastColumn="0" w:oddVBand="0" w:evenVBand="0" w:oddHBand="1" w:evenHBand="0" w:firstRowFirstColumn="0" w:firstRowLastColumn="0" w:lastRowFirstColumn="0" w:lastRowLastColumn="0"/>
              <w:rPr>
                <w:bCs/>
              </w:rPr>
            </w:pPr>
            <w:r>
              <w:rPr>
                <w:bCs/>
              </w:rPr>
              <w:t>1.97%</w:t>
            </w:r>
          </w:p>
        </w:tc>
        <w:tc>
          <w:tcPr>
            <w:tcW w:w="1134" w:type="dxa"/>
            <w:vAlign w:val="center"/>
          </w:tcPr>
          <w:p w14:paraId="35E53C50" w14:textId="77777777" w:rsidR="003D5A61" w:rsidRPr="00A71E70" w:rsidRDefault="003D5A61" w:rsidP="003D5A61">
            <w:pPr>
              <w:keepNext/>
              <w:spacing w:after="120"/>
              <w:jc w:val="right"/>
              <w:cnfStyle w:val="000000100000" w:firstRow="0" w:lastRow="0" w:firstColumn="0" w:lastColumn="0" w:oddVBand="0" w:evenVBand="0" w:oddHBand="1" w:evenHBand="0" w:firstRowFirstColumn="0" w:firstRowLastColumn="0" w:lastRowFirstColumn="0" w:lastRowLastColumn="0"/>
              <w:rPr>
                <w:bCs/>
              </w:rPr>
            </w:pPr>
            <w:r>
              <w:rPr>
                <w:bCs/>
              </w:rPr>
              <w:t>17,209</w:t>
            </w:r>
          </w:p>
        </w:tc>
        <w:tc>
          <w:tcPr>
            <w:tcW w:w="1560" w:type="dxa"/>
            <w:vAlign w:val="center"/>
          </w:tcPr>
          <w:p w14:paraId="3647A7D9" w14:textId="77777777" w:rsidR="003D5A61" w:rsidRPr="00A71E70" w:rsidRDefault="003D5A61" w:rsidP="003D5A61">
            <w:pPr>
              <w:keepNext/>
              <w:spacing w:after="120"/>
              <w:jc w:val="right"/>
              <w:cnfStyle w:val="000000100000" w:firstRow="0" w:lastRow="0" w:firstColumn="0" w:lastColumn="0" w:oddVBand="0" w:evenVBand="0" w:oddHBand="1" w:evenHBand="0" w:firstRowFirstColumn="0" w:firstRowLastColumn="0" w:lastRowFirstColumn="0" w:lastRowLastColumn="0"/>
              <w:rPr>
                <w:bCs/>
              </w:rPr>
            </w:pPr>
            <w:r>
              <w:rPr>
                <w:bCs/>
              </w:rPr>
              <w:t>1.43%</w:t>
            </w:r>
          </w:p>
        </w:tc>
      </w:tr>
      <w:tr w:rsidR="003D5A61" w14:paraId="1C7A0B28" w14:textId="77777777" w:rsidTr="003D5A61">
        <w:tc>
          <w:tcPr>
            <w:cnfStyle w:val="001000000000" w:firstRow="0" w:lastRow="0" w:firstColumn="1" w:lastColumn="0" w:oddVBand="0" w:evenVBand="0" w:oddHBand="0" w:evenHBand="0" w:firstRowFirstColumn="0" w:firstRowLastColumn="0" w:lastRowFirstColumn="0" w:lastRowLastColumn="0"/>
            <w:tcW w:w="3256" w:type="dxa"/>
            <w:vAlign w:val="center"/>
          </w:tcPr>
          <w:p w14:paraId="52D84C07" w14:textId="77777777" w:rsidR="003D5A61" w:rsidRDefault="003D5A61" w:rsidP="003D5A61">
            <w:pPr>
              <w:keepNext/>
              <w:spacing w:after="120"/>
              <w:rPr>
                <w:b w:val="0"/>
              </w:rPr>
            </w:pPr>
            <w:r>
              <w:rPr>
                <w:b w:val="0"/>
              </w:rPr>
              <w:t>Waipa District</w:t>
            </w:r>
          </w:p>
        </w:tc>
        <w:tc>
          <w:tcPr>
            <w:tcW w:w="1275" w:type="dxa"/>
            <w:vAlign w:val="center"/>
          </w:tcPr>
          <w:p w14:paraId="4EE98F92" w14:textId="77777777" w:rsidR="003D5A61" w:rsidRPr="00A71E70" w:rsidRDefault="003D5A61" w:rsidP="003D5A61">
            <w:pPr>
              <w:keepNext/>
              <w:spacing w:after="120"/>
              <w:jc w:val="right"/>
              <w:cnfStyle w:val="000000000000" w:firstRow="0" w:lastRow="0" w:firstColumn="0" w:lastColumn="0" w:oddVBand="0" w:evenVBand="0" w:oddHBand="0" w:evenHBand="0" w:firstRowFirstColumn="0" w:firstRowLastColumn="0" w:lastRowFirstColumn="0" w:lastRowLastColumn="0"/>
              <w:rPr>
                <w:bCs/>
              </w:rPr>
            </w:pPr>
            <w:r>
              <w:rPr>
                <w:bCs/>
              </w:rPr>
              <w:t>2,056</w:t>
            </w:r>
          </w:p>
        </w:tc>
        <w:tc>
          <w:tcPr>
            <w:tcW w:w="1276" w:type="dxa"/>
            <w:vAlign w:val="center"/>
          </w:tcPr>
          <w:p w14:paraId="7135A482" w14:textId="77777777" w:rsidR="003D5A61" w:rsidRPr="00A71E70" w:rsidRDefault="003D5A61" w:rsidP="003D5A61">
            <w:pPr>
              <w:keepNext/>
              <w:spacing w:after="120"/>
              <w:jc w:val="right"/>
              <w:cnfStyle w:val="000000000000" w:firstRow="0" w:lastRow="0" w:firstColumn="0" w:lastColumn="0" w:oddVBand="0" w:evenVBand="0" w:oddHBand="0" w:evenHBand="0" w:firstRowFirstColumn="0" w:firstRowLastColumn="0" w:lastRowFirstColumn="0" w:lastRowLastColumn="0"/>
              <w:rPr>
                <w:bCs/>
              </w:rPr>
            </w:pPr>
            <w:r>
              <w:rPr>
                <w:bCs/>
              </w:rPr>
              <w:t>2,974</w:t>
            </w:r>
          </w:p>
        </w:tc>
        <w:tc>
          <w:tcPr>
            <w:tcW w:w="1559" w:type="dxa"/>
            <w:vAlign w:val="center"/>
          </w:tcPr>
          <w:p w14:paraId="31F51294" w14:textId="77777777" w:rsidR="003D5A61" w:rsidRPr="00A71E70" w:rsidRDefault="003D5A61" w:rsidP="003D5A61">
            <w:pPr>
              <w:keepNext/>
              <w:spacing w:after="120"/>
              <w:jc w:val="right"/>
              <w:cnfStyle w:val="000000000000" w:firstRow="0" w:lastRow="0" w:firstColumn="0" w:lastColumn="0" w:oddVBand="0" w:evenVBand="0" w:oddHBand="0" w:evenHBand="0" w:firstRowFirstColumn="0" w:firstRowLastColumn="0" w:lastRowFirstColumn="0" w:lastRowLastColumn="0"/>
              <w:rPr>
                <w:bCs/>
              </w:rPr>
            </w:pPr>
            <w:r>
              <w:rPr>
                <w:bCs/>
              </w:rPr>
              <w:t>1.86%</w:t>
            </w:r>
          </w:p>
        </w:tc>
        <w:tc>
          <w:tcPr>
            <w:tcW w:w="1134" w:type="dxa"/>
            <w:vAlign w:val="center"/>
          </w:tcPr>
          <w:p w14:paraId="21D67B47" w14:textId="77777777" w:rsidR="003D5A61" w:rsidRPr="00A71E70" w:rsidRDefault="003D5A61" w:rsidP="003D5A61">
            <w:pPr>
              <w:keepNext/>
              <w:spacing w:after="120"/>
              <w:jc w:val="right"/>
              <w:cnfStyle w:val="000000000000" w:firstRow="0" w:lastRow="0" w:firstColumn="0" w:lastColumn="0" w:oddVBand="0" w:evenVBand="0" w:oddHBand="0" w:evenHBand="0" w:firstRowFirstColumn="0" w:firstRowLastColumn="0" w:lastRowFirstColumn="0" w:lastRowLastColumn="0"/>
              <w:rPr>
                <w:bCs/>
              </w:rPr>
            </w:pPr>
            <w:r>
              <w:rPr>
                <w:bCs/>
              </w:rPr>
              <w:t>4,225</w:t>
            </w:r>
          </w:p>
        </w:tc>
        <w:tc>
          <w:tcPr>
            <w:tcW w:w="1560" w:type="dxa"/>
            <w:vAlign w:val="center"/>
          </w:tcPr>
          <w:p w14:paraId="3C441F85" w14:textId="77777777" w:rsidR="003D5A61" w:rsidRPr="00A71E70" w:rsidRDefault="003D5A61" w:rsidP="003D5A61">
            <w:pPr>
              <w:keepNext/>
              <w:spacing w:after="120"/>
              <w:jc w:val="right"/>
              <w:cnfStyle w:val="000000000000" w:firstRow="0" w:lastRow="0" w:firstColumn="0" w:lastColumn="0" w:oddVBand="0" w:evenVBand="0" w:oddHBand="0" w:evenHBand="0" w:firstRowFirstColumn="0" w:firstRowLastColumn="0" w:lastRowFirstColumn="0" w:lastRowLastColumn="0"/>
              <w:rPr>
                <w:bCs/>
              </w:rPr>
            </w:pPr>
            <w:r>
              <w:rPr>
                <w:bCs/>
              </w:rPr>
              <w:t>1.45%</w:t>
            </w:r>
          </w:p>
        </w:tc>
      </w:tr>
      <w:tr w:rsidR="003D5A61" w14:paraId="55646FB0" w14:textId="77777777" w:rsidTr="003D5A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110ACF35" w14:textId="77777777" w:rsidR="003D5A61" w:rsidRDefault="003D5A61" w:rsidP="003D5A61">
            <w:pPr>
              <w:keepNext/>
              <w:spacing w:after="120"/>
              <w:rPr>
                <w:b w:val="0"/>
              </w:rPr>
            </w:pPr>
            <w:r>
              <w:rPr>
                <w:b w:val="0"/>
              </w:rPr>
              <w:t>Waikato District</w:t>
            </w:r>
          </w:p>
        </w:tc>
        <w:tc>
          <w:tcPr>
            <w:tcW w:w="1275" w:type="dxa"/>
            <w:vAlign w:val="center"/>
          </w:tcPr>
          <w:p w14:paraId="66BBD747" w14:textId="77777777" w:rsidR="003D5A61" w:rsidRPr="00A71E70" w:rsidRDefault="003D5A61" w:rsidP="003D5A61">
            <w:pPr>
              <w:keepNext/>
              <w:spacing w:after="120"/>
              <w:jc w:val="right"/>
              <w:cnfStyle w:val="000000100000" w:firstRow="0" w:lastRow="0" w:firstColumn="0" w:lastColumn="0" w:oddVBand="0" w:evenVBand="0" w:oddHBand="1" w:evenHBand="0" w:firstRowFirstColumn="0" w:firstRowLastColumn="0" w:lastRowFirstColumn="0" w:lastRowLastColumn="0"/>
              <w:rPr>
                <w:bCs/>
              </w:rPr>
            </w:pPr>
            <w:r>
              <w:rPr>
                <w:bCs/>
              </w:rPr>
              <w:t>2,199</w:t>
            </w:r>
          </w:p>
        </w:tc>
        <w:tc>
          <w:tcPr>
            <w:tcW w:w="1276" w:type="dxa"/>
            <w:vAlign w:val="center"/>
          </w:tcPr>
          <w:p w14:paraId="4F3EB361" w14:textId="77777777" w:rsidR="003D5A61" w:rsidRPr="00A71E70" w:rsidRDefault="003D5A61" w:rsidP="003D5A61">
            <w:pPr>
              <w:keepNext/>
              <w:spacing w:after="120"/>
              <w:jc w:val="right"/>
              <w:cnfStyle w:val="000000100000" w:firstRow="0" w:lastRow="0" w:firstColumn="0" w:lastColumn="0" w:oddVBand="0" w:evenVBand="0" w:oddHBand="1" w:evenHBand="0" w:firstRowFirstColumn="0" w:firstRowLastColumn="0" w:lastRowFirstColumn="0" w:lastRowLastColumn="0"/>
              <w:rPr>
                <w:bCs/>
              </w:rPr>
            </w:pPr>
            <w:r>
              <w:rPr>
                <w:bCs/>
              </w:rPr>
              <w:t>3,461</w:t>
            </w:r>
          </w:p>
        </w:tc>
        <w:tc>
          <w:tcPr>
            <w:tcW w:w="1559" w:type="dxa"/>
            <w:vAlign w:val="center"/>
          </w:tcPr>
          <w:p w14:paraId="3374825B" w14:textId="77777777" w:rsidR="003D5A61" w:rsidRPr="00A71E70" w:rsidRDefault="003D5A61" w:rsidP="003D5A61">
            <w:pPr>
              <w:keepNext/>
              <w:spacing w:after="120"/>
              <w:jc w:val="right"/>
              <w:cnfStyle w:val="000000100000" w:firstRow="0" w:lastRow="0" w:firstColumn="0" w:lastColumn="0" w:oddVBand="0" w:evenVBand="0" w:oddHBand="1" w:evenHBand="0" w:firstRowFirstColumn="0" w:firstRowLastColumn="0" w:lastRowFirstColumn="0" w:lastRowLastColumn="0"/>
              <w:rPr>
                <w:bCs/>
              </w:rPr>
            </w:pPr>
            <w:r>
              <w:rPr>
                <w:bCs/>
              </w:rPr>
              <w:t>2.29%</w:t>
            </w:r>
          </w:p>
        </w:tc>
        <w:tc>
          <w:tcPr>
            <w:tcW w:w="1134" w:type="dxa"/>
            <w:vAlign w:val="center"/>
          </w:tcPr>
          <w:p w14:paraId="17B9A90A" w14:textId="77777777" w:rsidR="003D5A61" w:rsidRPr="00A71E70" w:rsidRDefault="003D5A61" w:rsidP="003D5A61">
            <w:pPr>
              <w:keepNext/>
              <w:spacing w:after="120"/>
              <w:jc w:val="right"/>
              <w:cnfStyle w:val="000000100000" w:firstRow="0" w:lastRow="0" w:firstColumn="0" w:lastColumn="0" w:oddVBand="0" w:evenVBand="0" w:oddHBand="1" w:evenHBand="0" w:firstRowFirstColumn="0" w:firstRowLastColumn="0" w:lastRowFirstColumn="0" w:lastRowLastColumn="0"/>
              <w:rPr>
                <w:bCs/>
              </w:rPr>
            </w:pPr>
            <w:r>
              <w:rPr>
                <w:bCs/>
              </w:rPr>
              <w:t>5,063</w:t>
            </w:r>
          </w:p>
        </w:tc>
        <w:tc>
          <w:tcPr>
            <w:tcW w:w="1560" w:type="dxa"/>
            <w:vAlign w:val="center"/>
          </w:tcPr>
          <w:p w14:paraId="48969F27" w14:textId="77777777" w:rsidR="003D5A61" w:rsidRPr="00A71E70" w:rsidRDefault="003D5A61" w:rsidP="003D5A61">
            <w:pPr>
              <w:keepNext/>
              <w:spacing w:after="120"/>
              <w:jc w:val="right"/>
              <w:cnfStyle w:val="000000100000" w:firstRow="0" w:lastRow="0" w:firstColumn="0" w:lastColumn="0" w:oddVBand="0" w:evenVBand="0" w:oddHBand="1" w:evenHBand="0" w:firstRowFirstColumn="0" w:firstRowLastColumn="0" w:lastRowFirstColumn="0" w:lastRowLastColumn="0"/>
              <w:rPr>
                <w:bCs/>
              </w:rPr>
            </w:pPr>
            <w:r>
              <w:rPr>
                <w:bCs/>
              </w:rPr>
              <w:t>1.68%</w:t>
            </w:r>
          </w:p>
        </w:tc>
      </w:tr>
      <w:tr w:rsidR="003D5A61" w14:paraId="5CF06F07" w14:textId="77777777" w:rsidTr="003D5A61">
        <w:tc>
          <w:tcPr>
            <w:cnfStyle w:val="001000000000" w:firstRow="0" w:lastRow="0" w:firstColumn="1" w:lastColumn="0" w:oddVBand="0" w:evenVBand="0" w:oddHBand="0" w:evenHBand="0" w:firstRowFirstColumn="0" w:firstRowLastColumn="0" w:lastRowFirstColumn="0" w:lastRowLastColumn="0"/>
            <w:tcW w:w="3256" w:type="dxa"/>
            <w:vAlign w:val="center"/>
          </w:tcPr>
          <w:p w14:paraId="091D8896" w14:textId="77777777" w:rsidR="003D5A61" w:rsidRDefault="003D5A61" w:rsidP="003D5A61">
            <w:pPr>
              <w:keepNext/>
              <w:spacing w:after="120"/>
              <w:rPr>
                <w:b w:val="0"/>
              </w:rPr>
            </w:pPr>
            <w:r>
              <w:rPr>
                <w:b w:val="0"/>
              </w:rPr>
              <w:t>Taupō District</w:t>
            </w:r>
          </w:p>
        </w:tc>
        <w:tc>
          <w:tcPr>
            <w:tcW w:w="1275" w:type="dxa"/>
            <w:vAlign w:val="center"/>
          </w:tcPr>
          <w:p w14:paraId="4D0D8735" w14:textId="77777777" w:rsidR="003D5A61" w:rsidRPr="00A71E70" w:rsidRDefault="003D5A61" w:rsidP="003D5A61">
            <w:pPr>
              <w:keepNext/>
              <w:spacing w:after="120"/>
              <w:jc w:val="right"/>
              <w:cnfStyle w:val="000000000000" w:firstRow="0" w:lastRow="0" w:firstColumn="0" w:lastColumn="0" w:oddVBand="0" w:evenVBand="0" w:oddHBand="0" w:evenHBand="0" w:firstRowFirstColumn="0" w:firstRowLastColumn="0" w:lastRowFirstColumn="0" w:lastRowLastColumn="0"/>
              <w:rPr>
                <w:bCs/>
              </w:rPr>
            </w:pPr>
            <w:r>
              <w:rPr>
                <w:bCs/>
              </w:rPr>
              <w:t>1,862</w:t>
            </w:r>
          </w:p>
        </w:tc>
        <w:tc>
          <w:tcPr>
            <w:tcW w:w="1276" w:type="dxa"/>
            <w:vAlign w:val="center"/>
          </w:tcPr>
          <w:p w14:paraId="1B08D63F" w14:textId="77777777" w:rsidR="003D5A61" w:rsidRPr="00A71E70" w:rsidRDefault="003D5A61" w:rsidP="003D5A61">
            <w:pPr>
              <w:keepNext/>
              <w:spacing w:after="120"/>
              <w:jc w:val="right"/>
              <w:cnfStyle w:val="000000000000" w:firstRow="0" w:lastRow="0" w:firstColumn="0" w:lastColumn="0" w:oddVBand="0" w:evenVBand="0" w:oddHBand="0" w:evenHBand="0" w:firstRowFirstColumn="0" w:firstRowLastColumn="0" w:lastRowFirstColumn="0" w:lastRowLastColumn="0"/>
              <w:rPr>
                <w:bCs/>
              </w:rPr>
            </w:pPr>
            <w:r>
              <w:rPr>
                <w:bCs/>
              </w:rPr>
              <w:t>2,484</w:t>
            </w:r>
          </w:p>
        </w:tc>
        <w:tc>
          <w:tcPr>
            <w:tcW w:w="1559" w:type="dxa"/>
            <w:vAlign w:val="center"/>
          </w:tcPr>
          <w:p w14:paraId="3D0FE822" w14:textId="77777777" w:rsidR="003D5A61" w:rsidRPr="00A71E70" w:rsidRDefault="003D5A61" w:rsidP="003D5A61">
            <w:pPr>
              <w:keepNext/>
              <w:spacing w:after="120"/>
              <w:jc w:val="right"/>
              <w:cnfStyle w:val="000000000000" w:firstRow="0" w:lastRow="0" w:firstColumn="0" w:lastColumn="0" w:oddVBand="0" w:evenVBand="0" w:oddHBand="0" w:evenHBand="0" w:firstRowFirstColumn="0" w:firstRowLastColumn="0" w:lastRowFirstColumn="0" w:lastRowLastColumn="0"/>
              <w:rPr>
                <w:bCs/>
              </w:rPr>
            </w:pPr>
            <w:r>
              <w:rPr>
                <w:bCs/>
              </w:rPr>
              <w:t>1.45%</w:t>
            </w:r>
          </w:p>
        </w:tc>
        <w:tc>
          <w:tcPr>
            <w:tcW w:w="1134" w:type="dxa"/>
            <w:vAlign w:val="center"/>
          </w:tcPr>
          <w:p w14:paraId="26493180" w14:textId="77777777" w:rsidR="003D5A61" w:rsidRPr="00A71E70" w:rsidRDefault="003D5A61" w:rsidP="003D5A61">
            <w:pPr>
              <w:keepNext/>
              <w:spacing w:after="120"/>
              <w:jc w:val="right"/>
              <w:cnfStyle w:val="000000000000" w:firstRow="0" w:lastRow="0" w:firstColumn="0" w:lastColumn="0" w:oddVBand="0" w:evenVBand="0" w:oddHBand="0" w:evenHBand="0" w:firstRowFirstColumn="0" w:firstRowLastColumn="0" w:lastRowFirstColumn="0" w:lastRowLastColumn="0"/>
              <w:rPr>
                <w:bCs/>
              </w:rPr>
            </w:pPr>
            <w:r>
              <w:rPr>
                <w:bCs/>
              </w:rPr>
              <w:t>3,276</w:t>
            </w:r>
          </w:p>
        </w:tc>
        <w:tc>
          <w:tcPr>
            <w:tcW w:w="1560" w:type="dxa"/>
            <w:vAlign w:val="center"/>
          </w:tcPr>
          <w:p w14:paraId="60FCCA79" w14:textId="77777777" w:rsidR="003D5A61" w:rsidRPr="00A71E70" w:rsidRDefault="003D5A61" w:rsidP="003D5A61">
            <w:pPr>
              <w:keepNext/>
              <w:spacing w:after="120"/>
              <w:jc w:val="right"/>
              <w:cnfStyle w:val="000000000000" w:firstRow="0" w:lastRow="0" w:firstColumn="0" w:lastColumn="0" w:oddVBand="0" w:evenVBand="0" w:oddHBand="0" w:evenHBand="0" w:firstRowFirstColumn="0" w:firstRowLastColumn="0" w:lastRowFirstColumn="0" w:lastRowLastColumn="0"/>
              <w:rPr>
                <w:bCs/>
              </w:rPr>
            </w:pPr>
            <w:r>
              <w:rPr>
                <w:bCs/>
              </w:rPr>
              <w:t>1.14%</w:t>
            </w:r>
          </w:p>
        </w:tc>
      </w:tr>
      <w:tr w:rsidR="003D5A61" w14:paraId="28AF2F75" w14:textId="77777777" w:rsidTr="003D5A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0EE04F0A" w14:textId="77777777" w:rsidR="003D5A61" w:rsidRDefault="003D5A61" w:rsidP="003D5A61">
            <w:pPr>
              <w:keepNext/>
              <w:spacing w:after="120"/>
              <w:rPr>
                <w:b w:val="0"/>
              </w:rPr>
            </w:pPr>
            <w:r>
              <w:rPr>
                <w:b w:val="0"/>
              </w:rPr>
              <w:t>Matamata-Piako District</w:t>
            </w:r>
          </w:p>
        </w:tc>
        <w:tc>
          <w:tcPr>
            <w:tcW w:w="1275" w:type="dxa"/>
            <w:vAlign w:val="center"/>
          </w:tcPr>
          <w:p w14:paraId="4E44F0E6" w14:textId="77777777" w:rsidR="003D5A61" w:rsidRPr="00A71E70" w:rsidRDefault="003D5A61" w:rsidP="003D5A61">
            <w:pPr>
              <w:keepNext/>
              <w:spacing w:after="120"/>
              <w:jc w:val="right"/>
              <w:cnfStyle w:val="000000100000" w:firstRow="0" w:lastRow="0" w:firstColumn="0" w:lastColumn="0" w:oddVBand="0" w:evenVBand="0" w:oddHBand="1" w:evenHBand="0" w:firstRowFirstColumn="0" w:firstRowLastColumn="0" w:lastRowFirstColumn="0" w:lastRowLastColumn="0"/>
              <w:rPr>
                <w:bCs/>
              </w:rPr>
            </w:pPr>
            <w:r>
              <w:rPr>
                <w:bCs/>
              </w:rPr>
              <w:t>1,742</w:t>
            </w:r>
          </w:p>
        </w:tc>
        <w:tc>
          <w:tcPr>
            <w:tcW w:w="1276" w:type="dxa"/>
            <w:vAlign w:val="center"/>
          </w:tcPr>
          <w:p w14:paraId="45DA7F39" w14:textId="77777777" w:rsidR="003D5A61" w:rsidRPr="00A71E70" w:rsidRDefault="003D5A61" w:rsidP="003D5A61">
            <w:pPr>
              <w:keepNext/>
              <w:spacing w:after="120"/>
              <w:jc w:val="right"/>
              <w:cnfStyle w:val="000000100000" w:firstRow="0" w:lastRow="0" w:firstColumn="0" w:lastColumn="0" w:oddVBand="0" w:evenVBand="0" w:oddHBand="1" w:evenHBand="0" w:firstRowFirstColumn="0" w:firstRowLastColumn="0" w:lastRowFirstColumn="0" w:lastRowLastColumn="0"/>
              <w:rPr>
                <w:bCs/>
              </w:rPr>
            </w:pPr>
            <w:r>
              <w:rPr>
                <w:bCs/>
              </w:rPr>
              <w:t>2,347</w:t>
            </w:r>
          </w:p>
        </w:tc>
        <w:tc>
          <w:tcPr>
            <w:tcW w:w="1559" w:type="dxa"/>
            <w:vAlign w:val="center"/>
          </w:tcPr>
          <w:p w14:paraId="6A4F751D" w14:textId="77777777" w:rsidR="003D5A61" w:rsidRPr="00A71E70" w:rsidRDefault="003D5A61" w:rsidP="003D5A61">
            <w:pPr>
              <w:keepNext/>
              <w:spacing w:after="120"/>
              <w:jc w:val="right"/>
              <w:cnfStyle w:val="000000100000" w:firstRow="0" w:lastRow="0" w:firstColumn="0" w:lastColumn="0" w:oddVBand="0" w:evenVBand="0" w:oddHBand="1" w:evenHBand="0" w:firstRowFirstColumn="0" w:firstRowLastColumn="0" w:lastRowFirstColumn="0" w:lastRowLastColumn="0"/>
              <w:rPr>
                <w:bCs/>
              </w:rPr>
            </w:pPr>
            <w:r>
              <w:rPr>
                <w:bCs/>
              </w:rPr>
              <w:t>1.50%</w:t>
            </w:r>
          </w:p>
        </w:tc>
        <w:tc>
          <w:tcPr>
            <w:tcW w:w="1134" w:type="dxa"/>
            <w:vAlign w:val="center"/>
          </w:tcPr>
          <w:p w14:paraId="054CB759" w14:textId="77777777" w:rsidR="003D5A61" w:rsidRPr="00A71E70" w:rsidRDefault="003D5A61" w:rsidP="003D5A61">
            <w:pPr>
              <w:keepNext/>
              <w:spacing w:after="120"/>
              <w:jc w:val="right"/>
              <w:cnfStyle w:val="000000100000" w:firstRow="0" w:lastRow="0" w:firstColumn="0" w:lastColumn="0" w:oddVBand="0" w:evenVBand="0" w:oddHBand="1" w:evenHBand="0" w:firstRowFirstColumn="0" w:firstRowLastColumn="0" w:lastRowFirstColumn="0" w:lastRowLastColumn="0"/>
              <w:rPr>
                <w:bCs/>
              </w:rPr>
            </w:pPr>
            <w:r>
              <w:rPr>
                <w:bCs/>
              </w:rPr>
              <w:t>3,148</w:t>
            </w:r>
          </w:p>
        </w:tc>
        <w:tc>
          <w:tcPr>
            <w:tcW w:w="1560" w:type="dxa"/>
            <w:vAlign w:val="center"/>
          </w:tcPr>
          <w:p w14:paraId="6B2294B1" w14:textId="77777777" w:rsidR="003D5A61" w:rsidRPr="00A71E70" w:rsidRDefault="003D5A61" w:rsidP="003D5A61">
            <w:pPr>
              <w:keepNext/>
              <w:spacing w:after="120"/>
              <w:jc w:val="right"/>
              <w:cnfStyle w:val="000000100000" w:firstRow="0" w:lastRow="0" w:firstColumn="0" w:lastColumn="0" w:oddVBand="0" w:evenVBand="0" w:oddHBand="1" w:evenHBand="0" w:firstRowFirstColumn="0" w:firstRowLastColumn="0" w:lastRowFirstColumn="0" w:lastRowLastColumn="0"/>
              <w:rPr>
                <w:bCs/>
              </w:rPr>
            </w:pPr>
            <w:r>
              <w:rPr>
                <w:bCs/>
              </w:rPr>
              <w:t>1.19%</w:t>
            </w:r>
          </w:p>
        </w:tc>
      </w:tr>
      <w:tr w:rsidR="003D5A61" w14:paraId="4EDDC00E" w14:textId="77777777" w:rsidTr="003D5A61">
        <w:tc>
          <w:tcPr>
            <w:cnfStyle w:val="001000000000" w:firstRow="0" w:lastRow="0" w:firstColumn="1" w:lastColumn="0" w:oddVBand="0" w:evenVBand="0" w:oddHBand="0" w:evenHBand="0" w:firstRowFirstColumn="0" w:firstRowLastColumn="0" w:lastRowFirstColumn="0" w:lastRowLastColumn="0"/>
            <w:tcW w:w="3256" w:type="dxa"/>
            <w:vAlign w:val="center"/>
          </w:tcPr>
          <w:p w14:paraId="63BC575F" w14:textId="77777777" w:rsidR="003D5A61" w:rsidRDefault="003D5A61" w:rsidP="003D5A61">
            <w:pPr>
              <w:keepNext/>
              <w:spacing w:after="120"/>
              <w:rPr>
                <w:b w:val="0"/>
              </w:rPr>
            </w:pPr>
            <w:r>
              <w:rPr>
                <w:b w:val="0"/>
              </w:rPr>
              <w:t>Thames-Coromandel District</w:t>
            </w:r>
          </w:p>
        </w:tc>
        <w:tc>
          <w:tcPr>
            <w:tcW w:w="1275" w:type="dxa"/>
            <w:vAlign w:val="center"/>
          </w:tcPr>
          <w:p w14:paraId="4B70B65F" w14:textId="77777777" w:rsidR="003D5A61" w:rsidRPr="00A71E70" w:rsidRDefault="003D5A61" w:rsidP="003D5A61">
            <w:pPr>
              <w:keepNext/>
              <w:spacing w:after="120"/>
              <w:jc w:val="right"/>
              <w:cnfStyle w:val="000000000000" w:firstRow="0" w:lastRow="0" w:firstColumn="0" w:lastColumn="0" w:oddVBand="0" w:evenVBand="0" w:oddHBand="0" w:evenHBand="0" w:firstRowFirstColumn="0" w:firstRowLastColumn="0" w:lastRowFirstColumn="0" w:lastRowLastColumn="0"/>
              <w:rPr>
                <w:bCs/>
              </w:rPr>
            </w:pPr>
            <w:r>
              <w:rPr>
                <w:bCs/>
              </w:rPr>
              <w:t>983</w:t>
            </w:r>
          </w:p>
        </w:tc>
        <w:tc>
          <w:tcPr>
            <w:tcW w:w="1276" w:type="dxa"/>
            <w:vAlign w:val="center"/>
          </w:tcPr>
          <w:p w14:paraId="3E1132B4" w14:textId="77777777" w:rsidR="003D5A61" w:rsidRPr="00A71E70" w:rsidRDefault="003D5A61" w:rsidP="003D5A61">
            <w:pPr>
              <w:keepNext/>
              <w:spacing w:after="120"/>
              <w:jc w:val="right"/>
              <w:cnfStyle w:val="000000000000" w:firstRow="0" w:lastRow="0" w:firstColumn="0" w:lastColumn="0" w:oddVBand="0" w:evenVBand="0" w:oddHBand="0" w:evenHBand="0" w:firstRowFirstColumn="0" w:firstRowLastColumn="0" w:lastRowFirstColumn="0" w:lastRowLastColumn="0"/>
              <w:rPr>
                <w:bCs/>
              </w:rPr>
            </w:pPr>
            <w:r>
              <w:rPr>
                <w:bCs/>
              </w:rPr>
              <w:t>1,338</w:t>
            </w:r>
          </w:p>
        </w:tc>
        <w:tc>
          <w:tcPr>
            <w:tcW w:w="1559" w:type="dxa"/>
            <w:vAlign w:val="center"/>
          </w:tcPr>
          <w:p w14:paraId="34D2F537" w14:textId="77777777" w:rsidR="003D5A61" w:rsidRPr="00A71E70" w:rsidRDefault="003D5A61" w:rsidP="003D5A61">
            <w:pPr>
              <w:keepNext/>
              <w:spacing w:after="120"/>
              <w:jc w:val="right"/>
              <w:cnfStyle w:val="000000000000" w:firstRow="0" w:lastRow="0" w:firstColumn="0" w:lastColumn="0" w:oddVBand="0" w:evenVBand="0" w:oddHBand="0" w:evenHBand="0" w:firstRowFirstColumn="0" w:firstRowLastColumn="0" w:lastRowFirstColumn="0" w:lastRowLastColumn="0"/>
              <w:rPr>
                <w:bCs/>
              </w:rPr>
            </w:pPr>
            <w:r>
              <w:rPr>
                <w:bCs/>
              </w:rPr>
              <w:t>1.55%</w:t>
            </w:r>
          </w:p>
        </w:tc>
        <w:tc>
          <w:tcPr>
            <w:tcW w:w="1134" w:type="dxa"/>
            <w:vAlign w:val="center"/>
          </w:tcPr>
          <w:p w14:paraId="1C15FFF2" w14:textId="77777777" w:rsidR="003D5A61" w:rsidRPr="00A71E70" w:rsidRDefault="003D5A61" w:rsidP="003D5A61">
            <w:pPr>
              <w:keepNext/>
              <w:spacing w:after="120"/>
              <w:jc w:val="right"/>
              <w:cnfStyle w:val="000000000000" w:firstRow="0" w:lastRow="0" w:firstColumn="0" w:lastColumn="0" w:oddVBand="0" w:evenVBand="0" w:oddHBand="0" w:evenHBand="0" w:firstRowFirstColumn="0" w:firstRowLastColumn="0" w:lastRowFirstColumn="0" w:lastRowLastColumn="0"/>
              <w:rPr>
                <w:bCs/>
              </w:rPr>
            </w:pPr>
            <w:r>
              <w:rPr>
                <w:bCs/>
              </w:rPr>
              <w:t>1,860</w:t>
            </w:r>
          </w:p>
        </w:tc>
        <w:tc>
          <w:tcPr>
            <w:tcW w:w="1560" w:type="dxa"/>
            <w:vAlign w:val="center"/>
          </w:tcPr>
          <w:p w14:paraId="1308ACE6" w14:textId="77777777" w:rsidR="003D5A61" w:rsidRPr="00A71E70" w:rsidRDefault="003D5A61" w:rsidP="003D5A61">
            <w:pPr>
              <w:keepNext/>
              <w:spacing w:after="120"/>
              <w:jc w:val="right"/>
              <w:cnfStyle w:val="000000000000" w:firstRow="0" w:lastRow="0" w:firstColumn="0" w:lastColumn="0" w:oddVBand="0" w:evenVBand="0" w:oddHBand="0" w:evenHBand="0" w:firstRowFirstColumn="0" w:firstRowLastColumn="0" w:lastRowFirstColumn="0" w:lastRowLastColumn="0"/>
              <w:rPr>
                <w:bCs/>
              </w:rPr>
            </w:pPr>
            <w:r>
              <w:rPr>
                <w:bCs/>
              </w:rPr>
              <w:t>1.28%</w:t>
            </w:r>
          </w:p>
        </w:tc>
      </w:tr>
      <w:tr w:rsidR="003D5A61" w14:paraId="731DF560" w14:textId="77777777" w:rsidTr="003D5A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2C1DC463" w14:textId="77777777" w:rsidR="003D5A61" w:rsidRPr="009333FF" w:rsidRDefault="003D5A61" w:rsidP="003D5A61">
            <w:pPr>
              <w:keepNext/>
              <w:spacing w:after="120"/>
              <w:rPr>
                <w:bCs w:val="0"/>
              </w:rPr>
            </w:pPr>
            <w:r>
              <w:rPr>
                <w:b w:val="0"/>
              </w:rPr>
              <w:t>South Waikato District</w:t>
            </w:r>
          </w:p>
        </w:tc>
        <w:tc>
          <w:tcPr>
            <w:tcW w:w="1275" w:type="dxa"/>
            <w:vAlign w:val="center"/>
          </w:tcPr>
          <w:p w14:paraId="0D03C1A4" w14:textId="77777777" w:rsidR="003D5A61" w:rsidRPr="00A71E70" w:rsidRDefault="003D5A61" w:rsidP="003D5A61">
            <w:pPr>
              <w:keepNext/>
              <w:spacing w:after="120"/>
              <w:jc w:val="right"/>
              <w:cnfStyle w:val="000000100000" w:firstRow="0" w:lastRow="0" w:firstColumn="0" w:lastColumn="0" w:oddVBand="0" w:evenVBand="0" w:oddHBand="1" w:evenHBand="0" w:firstRowFirstColumn="0" w:firstRowLastColumn="0" w:lastRowFirstColumn="0" w:lastRowLastColumn="0"/>
              <w:rPr>
                <w:bCs/>
              </w:rPr>
            </w:pPr>
            <w:r>
              <w:rPr>
                <w:bCs/>
              </w:rPr>
              <w:t>1,026</w:t>
            </w:r>
          </w:p>
        </w:tc>
        <w:tc>
          <w:tcPr>
            <w:tcW w:w="1276" w:type="dxa"/>
            <w:vAlign w:val="center"/>
          </w:tcPr>
          <w:p w14:paraId="6428627A" w14:textId="77777777" w:rsidR="003D5A61" w:rsidRPr="00A71E70" w:rsidRDefault="003D5A61" w:rsidP="003D5A61">
            <w:pPr>
              <w:keepNext/>
              <w:spacing w:after="120"/>
              <w:jc w:val="right"/>
              <w:cnfStyle w:val="000000100000" w:firstRow="0" w:lastRow="0" w:firstColumn="0" w:lastColumn="0" w:oddVBand="0" w:evenVBand="0" w:oddHBand="1" w:evenHBand="0" w:firstRowFirstColumn="0" w:firstRowLastColumn="0" w:lastRowFirstColumn="0" w:lastRowLastColumn="0"/>
              <w:rPr>
                <w:bCs/>
              </w:rPr>
            </w:pPr>
            <w:r>
              <w:rPr>
                <w:bCs/>
              </w:rPr>
              <w:t>1,348</w:t>
            </w:r>
          </w:p>
        </w:tc>
        <w:tc>
          <w:tcPr>
            <w:tcW w:w="1559" w:type="dxa"/>
            <w:vAlign w:val="center"/>
          </w:tcPr>
          <w:p w14:paraId="7C56E178" w14:textId="77777777" w:rsidR="003D5A61" w:rsidRPr="00A71E70" w:rsidRDefault="003D5A61" w:rsidP="003D5A61">
            <w:pPr>
              <w:keepNext/>
              <w:spacing w:after="120"/>
              <w:jc w:val="right"/>
              <w:cnfStyle w:val="000000100000" w:firstRow="0" w:lastRow="0" w:firstColumn="0" w:lastColumn="0" w:oddVBand="0" w:evenVBand="0" w:oddHBand="1" w:evenHBand="0" w:firstRowFirstColumn="0" w:firstRowLastColumn="0" w:lastRowFirstColumn="0" w:lastRowLastColumn="0"/>
              <w:rPr>
                <w:bCs/>
              </w:rPr>
            </w:pPr>
            <w:r>
              <w:rPr>
                <w:bCs/>
              </w:rPr>
              <w:t>1.37%</w:t>
            </w:r>
          </w:p>
        </w:tc>
        <w:tc>
          <w:tcPr>
            <w:tcW w:w="1134" w:type="dxa"/>
            <w:vAlign w:val="center"/>
          </w:tcPr>
          <w:p w14:paraId="2C14C22A" w14:textId="77777777" w:rsidR="003D5A61" w:rsidRPr="00A71E70" w:rsidRDefault="003D5A61" w:rsidP="003D5A61">
            <w:pPr>
              <w:keepNext/>
              <w:spacing w:after="120"/>
              <w:jc w:val="right"/>
              <w:cnfStyle w:val="000000100000" w:firstRow="0" w:lastRow="0" w:firstColumn="0" w:lastColumn="0" w:oddVBand="0" w:evenVBand="0" w:oddHBand="1" w:evenHBand="0" w:firstRowFirstColumn="0" w:firstRowLastColumn="0" w:lastRowFirstColumn="0" w:lastRowLastColumn="0"/>
              <w:rPr>
                <w:bCs/>
              </w:rPr>
            </w:pPr>
            <w:r>
              <w:rPr>
                <w:bCs/>
              </w:rPr>
              <w:t>1,746</w:t>
            </w:r>
          </w:p>
        </w:tc>
        <w:tc>
          <w:tcPr>
            <w:tcW w:w="1560" w:type="dxa"/>
            <w:vAlign w:val="center"/>
          </w:tcPr>
          <w:p w14:paraId="33698B9E" w14:textId="77777777" w:rsidR="003D5A61" w:rsidRPr="00A71E70" w:rsidRDefault="003D5A61" w:rsidP="003D5A61">
            <w:pPr>
              <w:keepNext/>
              <w:spacing w:after="120"/>
              <w:jc w:val="right"/>
              <w:cnfStyle w:val="000000100000" w:firstRow="0" w:lastRow="0" w:firstColumn="0" w:lastColumn="0" w:oddVBand="0" w:evenVBand="0" w:oddHBand="1" w:evenHBand="0" w:firstRowFirstColumn="0" w:firstRowLastColumn="0" w:lastRowFirstColumn="0" w:lastRowLastColumn="0"/>
              <w:rPr>
                <w:bCs/>
              </w:rPr>
            </w:pPr>
            <w:r>
              <w:rPr>
                <w:bCs/>
              </w:rPr>
              <w:t>1.07%</w:t>
            </w:r>
          </w:p>
        </w:tc>
      </w:tr>
      <w:tr w:rsidR="003D5A61" w14:paraId="4272CA9E" w14:textId="77777777" w:rsidTr="003D5A61">
        <w:tc>
          <w:tcPr>
            <w:cnfStyle w:val="001000000000" w:firstRow="0" w:lastRow="0" w:firstColumn="1" w:lastColumn="0" w:oddVBand="0" w:evenVBand="0" w:oddHBand="0" w:evenHBand="0" w:firstRowFirstColumn="0" w:firstRowLastColumn="0" w:lastRowFirstColumn="0" w:lastRowLastColumn="0"/>
            <w:tcW w:w="3256" w:type="dxa"/>
            <w:vAlign w:val="center"/>
          </w:tcPr>
          <w:p w14:paraId="5F5B60EE" w14:textId="77777777" w:rsidR="003D5A61" w:rsidRDefault="003D5A61" w:rsidP="003D5A61">
            <w:pPr>
              <w:keepNext/>
              <w:spacing w:after="120"/>
              <w:rPr>
                <w:b w:val="0"/>
              </w:rPr>
            </w:pPr>
            <w:r>
              <w:rPr>
                <w:b w:val="0"/>
              </w:rPr>
              <w:t>Hauraki District</w:t>
            </w:r>
          </w:p>
        </w:tc>
        <w:tc>
          <w:tcPr>
            <w:tcW w:w="1275" w:type="dxa"/>
            <w:vAlign w:val="center"/>
          </w:tcPr>
          <w:p w14:paraId="4FA26A72" w14:textId="77777777" w:rsidR="003D5A61" w:rsidRPr="00A71E70" w:rsidRDefault="003D5A61" w:rsidP="003D5A61">
            <w:pPr>
              <w:keepNext/>
              <w:spacing w:after="120"/>
              <w:jc w:val="right"/>
              <w:cnfStyle w:val="000000000000" w:firstRow="0" w:lastRow="0" w:firstColumn="0" w:lastColumn="0" w:oddVBand="0" w:evenVBand="0" w:oddHBand="0" w:evenHBand="0" w:firstRowFirstColumn="0" w:firstRowLastColumn="0" w:lastRowFirstColumn="0" w:lastRowLastColumn="0"/>
              <w:rPr>
                <w:bCs/>
              </w:rPr>
            </w:pPr>
            <w:r>
              <w:rPr>
                <w:bCs/>
              </w:rPr>
              <w:t>676</w:t>
            </w:r>
          </w:p>
        </w:tc>
        <w:tc>
          <w:tcPr>
            <w:tcW w:w="1276" w:type="dxa"/>
            <w:vAlign w:val="center"/>
          </w:tcPr>
          <w:p w14:paraId="24DA650B" w14:textId="77777777" w:rsidR="003D5A61" w:rsidRPr="00A71E70" w:rsidRDefault="003D5A61" w:rsidP="003D5A61">
            <w:pPr>
              <w:keepNext/>
              <w:spacing w:after="120"/>
              <w:jc w:val="right"/>
              <w:cnfStyle w:val="000000000000" w:firstRow="0" w:lastRow="0" w:firstColumn="0" w:lastColumn="0" w:oddVBand="0" w:evenVBand="0" w:oddHBand="0" w:evenHBand="0" w:firstRowFirstColumn="0" w:firstRowLastColumn="0" w:lastRowFirstColumn="0" w:lastRowLastColumn="0"/>
              <w:rPr>
                <w:bCs/>
              </w:rPr>
            </w:pPr>
            <w:r>
              <w:rPr>
                <w:bCs/>
              </w:rPr>
              <w:t>889</w:t>
            </w:r>
          </w:p>
        </w:tc>
        <w:tc>
          <w:tcPr>
            <w:tcW w:w="1559" w:type="dxa"/>
            <w:vAlign w:val="center"/>
          </w:tcPr>
          <w:p w14:paraId="6963115D" w14:textId="77777777" w:rsidR="003D5A61" w:rsidRPr="00A71E70" w:rsidRDefault="003D5A61" w:rsidP="003D5A61">
            <w:pPr>
              <w:keepNext/>
              <w:spacing w:after="120"/>
              <w:jc w:val="right"/>
              <w:cnfStyle w:val="000000000000" w:firstRow="0" w:lastRow="0" w:firstColumn="0" w:lastColumn="0" w:oddVBand="0" w:evenVBand="0" w:oddHBand="0" w:evenHBand="0" w:firstRowFirstColumn="0" w:firstRowLastColumn="0" w:lastRowFirstColumn="0" w:lastRowLastColumn="0"/>
              <w:rPr>
                <w:bCs/>
              </w:rPr>
            </w:pPr>
            <w:r>
              <w:rPr>
                <w:bCs/>
              </w:rPr>
              <w:t>1.38%</w:t>
            </w:r>
          </w:p>
        </w:tc>
        <w:tc>
          <w:tcPr>
            <w:tcW w:w="1134" w:type="dxa"/>
            <w:vAlign w:val="center"/>
          </w:tcPr>
          <w:p w14:paraId="189E09BC" w14:textId="77777777" w:rsidR="003D5A61" w:rsidRPr="00A71E70" w:rsidRDefault="003D5A61" w:rsidP="003D5A61">
            <w:pPr>
              <w:keepNext/>
              <w:spacing w:after="120"/>
              <w:jc w:val="right"/>
              <w:cnfStyle w:val="000000000000" w:firstRow="0" w:lastRow="0" w:firstColumn="0" w:lastColumn="0" w:oddVBand="0" w:evenVBand="0" w:oddHBand="0" w:evenHBand="0" w:firstRowFirstColumn="0" w:firstRowLastColumn="0" w:lastRowFirstColumn="0" w:lastRowLastColumn="0"/>
              <w:rPr>
                <w:bCs/>
              </w:rPr>
            </w:pPr>
            <w:r>
              <w:rPr>
                <w:bCs/>
              </w:rPr>
              <w:t>1,186</w:t>
            </w:r>
          </w:p>
        </w:tc>
        <w:tc>
          <w:tcPr>
            <w:tcW w:w="1560" w:type="dxa"/>
            <w:vAlign w:val="center"/>
          </w:tcPr>
          <w:p w14:paraId="01E828D3" w14:textId="77777777" w:rsidR="003D5A61" w:rsidRPr="00A71E70" w:rsidRDefault="003D5A61" w:rsidP="003D5A61">
            <w:pPr>
              <w:keepNext/>
              <w:spacing w:after="120"/>
              <w:jc w:val="right"/>
              <w:cnfStyle w:val="000000000000" w:firstRow="0" w:lastRow="0" w:firstColumn="0" w:lastColumn="0" w:oddVBand="0" w:evenVBand="0" w:oddHBand="0" w:evenHBand="0" w:firstRowFirstColumn="0" w:firstRowLastColumn="0" w:lastRowFirstColumn="0" w:lastRowLastColumn="0"/>
              <w:rPr>
                <w:bCs/>
              </w:rPr>
            </w:pPr>
            <w:r>
              <w:rPr>
                <w:bCs/>
              </w:rPr>
              <w:t>1.13%</w:t>
            </w:r>
          </w:p>
        </w:tc>
      </w:tr>
      <w:tr w:rsidR="003D5A61" w14:paraId="3921AA4F" w14:textId="77777777" w:rsidTr="003D5A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48D3F06F" w14:textId="77777777" w:rsidR="003D5A61" w:rsidRPr="009333FF" w:rsidRDefault="003D5A61" w:rsidP="003D5A61">
            <w:pPr>
              <w:keepNext/>
              <w:spacing w:after="120"/>
              <w:rPr>
                <w:bCs w:val="0"/>
              </w:rPr>
            </w:pPr>
            <w:r>
              <w:rPr>
                <w:b w:val="0"/>
              </w:rPr>
              <w:t>Waitomo District</w:t>
            </w:r>
          </w:p>
        </w:tc>
        <w:tc>
          <w:tcPr>
            <w:tcW w:w="1275" w:type="dxa"/>
            <w:vAlign w:val="center"/>
          </w:tcPr>
          <w:p w14:paraId="05BBA56C" w14:textId="32D142EA" w:rsidR="003D5A61" w:rsidRPr="00A71E70" w:rsidRDefault="003D5A61" w:rsidP="003D5A61">
            <w:pPr>
              <w:keepNext/>
              <w:spacing w:after="120"/>
              <w:jc w:val="right"/>
              <w:cnfStyle w:val="000000100000" w:firstRow="0" w:lastRow="0" w:firstColumn="0" w:lastColumn="0" w:oddVBand="0" w:evenVBand="0" w:oddHBand="1" w:evenHBand="0" w:firstRowFirstColumn="0" w:firstRowLastColumn="0" w:lastRowFirstColumn="0" w:lastRowLastColumn="0"/>
              <w:rPr>
                <w:bCs/>
              </w:rPr>
            </w:pPr>
            <w:r>
              <w:rPr>
                <w:bCs/>
              </w:rPr>
              <w:t>55</w:t>
            </w:r>
            <w:r w:rsidR="00694745">
              <w:rPr>
                <w:bCs/>
              </w:rPr>
              <w:t>7</w:t>
            </w:r>
          </w:p>
        </w:tc>
        <w:tc>
          <w:tcPr>
            <w:tcW w:w="1276" w:type="dxa"/>
            <w:vAlign w:val="center"/>
          </w:tcPr>
          <w:p w14:paraId="0AC5E493" w14:textId="77777777" w:rsidR="003D5A61" w:rsidRPr="00A71E70" w:rsidRDefault="003D5A61" w:rsidP="003D5A61">
            <w:pPr>
              <w:keepNext/>
              <w:spacing w:after="120"/>
              <w:jc w:val="right"/>
              <w:cnfStyle w:val="000000100000" w:firstRow="0" w:lastRow="0" w:firstColumn="0" w:lastColumn="0" w:oddVBand="0" w:evenVBand="0" w:oddHBand="1" w:evenHBand="0" w:firstRowFirstColumn="0" w:firstRowLastColumn="0" w:lastRowFirstColumn="0" w:lastRowLastColumn="0"/>
              <w:rPr>
                <w:bCs/>
              </w:rPr>
            </w:pPr>
            <w:r>
              <w:rPr>
                <w:bCs/>
              </w:rPr>
              <w:t>743</w:t>
            </w:r>
          </w:p>
        </w:tc>
        <w:tc>
          <w:tcPr>
            <w:tcW w:w="1559" w:type="dxa"/>
            <w:vAlign w:val="center"/>
          </w:tcPr>
          <w:p w14:paraId="64DE81B0" w14:textId="77777777" w:rsidR="003D5A61" w:rsidRPr="00A71E70" w:rsidRDefault="003D5A61" w:rsidP="003D5A61">
            <w:pPr>
              <w:keepNext/>
              <w:spacing w:after="120"/>
              <w:jc w:val="right"/>
              <w:cnfStyle w:val="000000100000" w:firstRow="0" w:lastRow="0" w:firstColumn="0" w:lastColumn="0" w:oddVBand="0" w:evenVBand="0" w:oddHBand="1" w:evenHBand="0" w:firstRowFirstColumn="0" w:firstRowLastColumn="0" w:lastRowFirstColumn="0" w:lastRowLastColumn="0"/>
              <w:rPr>
                <w:bCs/>
              </w:rPr>
            </w:pPr>
            <w:r>
              <w:rPr>
                <w:bCs/>
              </w:rPr>
              <w:t>1.45%</w:t>
            </w:r>
          </w:p>
        </w:tc>
        <w:tc>
          <w:tcPr>
            <w:tcW w:w="1134" w:type="dxa"/>
            <w:vAlign w:val="center"/>
          </w:tcPr>
          <w:p w14:paraId="4722362C" w14:textId="77777777" w:rsidR="003D5A61" w:rsidRPr="00A71E70" w:rsidRDefault="003D5A61" w:rsidP="003D5A61">
            <w:pPr>
              <w:keepNext/>
              <w:spacing w:after="120"/>
              <w:jc w:val="right"/>
              <w:cnfStyle w:val="000000100000" w:firstRow="0" w:lastRow="0" w:firstColumn="0" w:lastColumn="0" w:oddVBand="0" w:evenVBand="0" w:oddHBand="1" w:evenHBand="0" w:firstRowFirstColumn="0" w:firstRowLastColumn="0" w:lastRowFirstColumn="0" w:lastRowLastColumn="0"/>
              <w:rPr>
                <w:bCs/>
              </w:rPr>
            </w:pPr>
            <w:r>
              <w:rPr>
                <w:bCs/>
              </w:rPr>
              <w:t>995</w:t>
            </w:r>
          </w:p>
        </w:tc>
        <w:tc>
          <w:tcPr>
            <w:tcW w:w="1560" w:type="dxa"/>
            <w:vAlign w:val="center"/>
          </w:tcPr>
          <w:p w14:paraId="06850BC8" w14:textId="77777777" w:rsidR="003D5A61" w:rsidRPr="00A71E70" w:rsidRDefault="003D5A61" w:rsidP="003D5A61">
            <w:pPr>
              <w:keepNext/>
              <w:spacing w:after="120"/>
              <w:jc w:val="right"/>
              <w:cnfStyle w:val="000000100000" w:firstRow="0" w:lastRow="0" w:firstColumn="0" w:lastColumn="0" w:oddVBand="0" w:evenVBand="0" w:oddHBand="1" w:evenHBand="0" w:firstRowFirstColumn="0" w:firstRowLastColumn="0" w:lastRowFirstColumn="0" w:lastRowLastColumn="0"/>
              <w:rPr>
                <w:bCs/>
              </w:rPr>
            </w:pPr>
            <w:r>
              <w:rPr>
                <w:bCs/>
              </w:rPr>
              <w:t>1.17%</w:t>
            </w:r>
          </w:p>
        </w:tc>
      </w:tr>
      <w:tr w:rsidR="003D5A61" w14:paraId="36D6470B" w14:textId="77777777" w:rsidTr="003D5A61">
        <w:tc>
          <w:tcPr>
            <w:cnfStyle w:val="001000000000" w:firstRow="0" w:lastRow="0" w:firstColumn="1" w:lastColumn="0" w:oddVBand="0" w:evenVBand="0" w:oddHBand="0" w:evenHBand="0" w:firstRowFirstColumn="0" w:firstRowLastColumn="0" w:lastRowFirstColumn="0" w:lastRowLastColumn="0"/>
            <w:tcW w:w="3256" w:type="dxa"/>
            <w:vAlign w:val="center"/>
          </w:tcPr>
          <w:p w14:paraId="5B8F6A72" w14:textId="77777777" w:rsidR="003D5A61" w:rsidRDefault="003D5A61" w:rsidP="003D5A61">
            <w:pPr>
              <w:keepNext/>
              <w:spacing w:after="120"/>
              <w:rPr>
                <w:b w:val="0"/>
              </w:rPr>
            </w:pPr>
            <w:r>
              <w:rPr>
                <w:b w:val="0"/>
              </w:rPr>
              <w:t>Ōtorohanga District</w:t>
            </w:r>
          </w:p>
        </w:tc>
        <w:tc>
          <w:tcPr>
            <w:tcW w:w="1275" w:type="dxa"/>
            <w:vAlign w:val="center"/>
          </w:tcPr>
          <w:p w14:paraId="27F377C6" w14:textId="77777777" w:rsidR="003D5A61" w:rsidRPr="00A71E70" w:rsidRDefault="003D5A61" w:rsidP="003D5A61">
            <w:pPr>
              <w:keepNext/>
              <w:spacing w:after="120"/>
              <w:jc w:val="right"/>
              <w:cnfStyle w:val="000000000000" w:firstRow="0" w:lastRow="0" w:firstColumn="0" w:lastColumn="0" w:oddVBand="0" w:evenVBand="0" w:oddHBand="0" w:evenHBand="0" w:firstRowFirstColumn="0" w:firstRowLastColumn="0" w:lastRowFirstColumn="0" w:lastRowLastColumn="0"/>
              <w:rPr>
                <w:bCs/>
              </w:rPr>
            </w:pPr>
            <w:r>
              <w:rPr>
                <w:bCs/>
              </w:rPr>
              <w:t>436</w:t>
            </w:r>
          </w:p>
        </w:tc>
        <w:tc>
          <w:tcPr>
            <w:tcW w:w="1276" w:type="dxa"/>
            <w:vAlign w:val="center"/>
          </w:tcPr>
          <w:p w14:paraId="4246B109" w14:textId="77777777" w:rsidR="003D5A61" w:rsidRPr="00A71E70" w:rsidRDefault="003D5A61" w:rsidP="003D5A61">
            <w:pPr>
              <w:keepNext/>
              <w:spacing w:after="120"/>
              <w:jc w:val="right"/>
              <w:cnfStyle w:val="000000000000" w:firstRow="0" w:lastRow="0" w:firstColumn="0" w:lastColumn="0" w:oddVBand="0" w:evenVBand="0" w:oddHBand="0" w:evenHBand="0" w:firstRowFirstColumn="0" w:firstRowLastColumn="0" w:lastRowFirstColumn="0" w:lastRowLastColumn="0"/>
              <w:rPr>
                <w:bCs/>
              </w:rPr>
            </w:pPr>
            <w:r>
              <w:rPr>
                <w:bCs/>
              </w:rPr>
              <w:t>611</w:t>
            </w:r>
          </w:p>
        </w:tc>
        <w:tc>
          <w:tcPr>
            <w:tcW w:w="1559" w:type="dxa"/>
            <w:vAlign w:val="center"/>
          </w:tcPr>
          <w:p w14:paraId="2D027266" w14:textId="77777777" w:rsidR="003D5A61" w:rsidRPr="00A71E70" w:rsidRDefault="003D5A61" w:rsidP="003D5A61">
            <w:pPr>
              <w:keepNext/>
              <w:spacing w:after="120"/>
              <w:jc w:val="right"/>
              <w:cnfStyle w:val="000000000000" w:firstRow="0" w:lastRow="0" w:firstColumn="0" w:lastColumn="0" w:oddVBand="0" w:evenVBand="0" w:oddHBand="0" w:evenHBand="0" w:firstRowFirstColumn="0" w:firstRowLastColumn="0" w:lastRowFirstColumn="0" w:lastRowLastColumn="0"/>
              <w:rPr>
                <w:bCs/>
              </w:rPr>
            </w:pPr>
            <w:r>
              <w:rPr>
                <w:bCs/>
              </w:rPr>
              <w:t>1.70%</w:t>
            </w:r>
          </w:p>
        </w:tc>
        <w:tc>
          <w:tcPr>
            <w:tcW w:w="1134" w:type="dxa"/>
            <w:vAlign w:val="center"/>
          </w:tcPr>
          <w:p w14:paraId="51EB7B82" w14:textId="77777777" w:rsidR="003D5A61" w:rsidRPr="00A71E70" w:rsidRDefault="003D5A61" w:rsidP="003D5A61">
            <w:pPr>
              <w:keepNext/>
              <w:spacing w:after="120"/>
              <w:jc w:val="right"/>
              <w:cnfStyle w:val="000000000000" w:firstRow="0" w:lastRow="0" w:firstColumn="0" w:lastColumn="0" w:oddVBand="0" w:evenVBand="0" w:oddHBand="0" w:evenHBand="0" w:firstRowFirstColumn="0" w:firstRowLastColumn="0" w:lastRowFirstColumn="0" w:lastRowLastColumn="0"/>
              <w:rPr>
                <w:bCs/>
              </w:rPr>
            </w:pPr>
            <w:r>
              <w:rPr>
                <w:bCs/>
              </w:rPr>
              <w:t>791</w:t>
            </w:r>
          </w:p>
        </w:tc>
        <w:tc>
          <w:tcPr>
            <w:tcW w:w="1560" w:type="dxa"/>
            <w:vAlign w:val="center"/>
          </w:tcPr>
          <w:p w14:paraId="51EE1CDE" w14:textId="77777777" w:rsidR="003D5A61" w:rsidRPr="00A71E70" w:rsidRDefault="003D5A61" w:rsidP="003D5A61">
            <w:pPr>
              <w:keepNext/>
              <w:spacing w:after="120"/>
              <w:jc w:val="right"/>
              <w:cnfStyle w:val="000000000000" w:firstRow="0" w:lastRow="0" w:firstColumn="0" w:lastColumn="0" w:oddVBand="0" w:evenVBand="0" w:oddHBand="0" w:evenHBand="0" w:firstRowFirstColumn="0" w:firstRowLastColumn="0" w:lastRowFirstColumn="0" w:lastRowLastColumn="0"/>
              <w:rPr>
                <w:bCs/>
              </w:rPr>
            </w:pPr>
            <w:r>
              <w:rPr>
                <w:bCs/>
              </w:rPr>
              <w:t>1.20%</w:t>
            </w:r>
          </w:p>
        </w:tc>
      </w:tr>
      <w:tr w:rsidR="003D5A61" w14:paraId="2F763417" w14:textId="77777777" w:rsidTr="003D5A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55703508" w14:textId="77777777" w:rsidR="003D5A61" w:rsidRDefault="003D5A61" w:rsidP="003D5A61">
            <w:pPr>
              <w:keepNext/>
              <w:spacing w:after="120"/>
              <w:rPr>
                <w:b w:val="0"/>
              </w:rPr>
            </w:pPr>
            <w:r>
              <w:rPr>
                <w:b w:val="0"/>
              </w:rPr>
              <w:t>Rotorua District (part in Waikato)</w:t>
            </w:r>
          </w:p>
        </w:tc>
        <w:tc>
          <w:tcPr>
            <w:tcW w:w="1275" w:type="dxa"/>
            <w:vAlign w:val="center"/>
          </w:tcPr>
          <w:p w14:paraId="4CAF4B0C" w14:textId="77777777" w:rsidR="003D5A61" w:rsidRPr="00A71E70" w:rsidRDefault="003D5A61" w:rsidP="003D5A61">
            <w:pPr>
              <w:keepNext/>
              <w:spacing w:after="120"/>
              <w:jc w:val="right"/>
              <w:cnfStyle w:val="000000100000" w:firstRow="0" w:lastRow="0" w:firstColumn="0" w:lastColumn="0" w:oddVBand="0" w:evenVBand="0" w:oddHBand="1" w:evenHBand="0" w:firstRowFirstColumn="0" w:firstRowLastColumn="0" w:lastRowFirstColumn="0" w:lastRowLastColumn="0"/>
              <w:rPr>
                <w:bCs/>
              </w:rPr>
            </w:pPr>
            <w:r>
              <w:rPr>
                <w:bCs/>
              </w:rPr>
              <w:t>224</w:t>
            </w:r>
          </w:p>
        </w:tc>
        <w:tc>
          <w:tcPr>
            <w:tcW w:w="1276" w:type="dxa"/>
            <w:vAlign w:val="center"/>
          </w:tcPr>
          <w:p w14:paraId="7BDEEEB6" w14:textId="77777777" w:rsidR="003D5A61" w:rsidRPr="00A71E70" w:rsidRDefault="003D5A61" w:rsidP="003D5A61">
            <w:pPr>
              <w:keepNext/>
              <w:spacing w:after="120"/>
              <w:jc w:val="right"/>
              <w:cnfStyle w:val="000000100000" w:firstRow="0" w:lastRow="0" w:firstColumn="0" w:lastColumn="0" w:oddVBand="0" w:evenVBand="0" w:oddHBand="1" w:evenHBand="0" w:firstRowFirstColumn="0" w:firstRowLastColumn="0" w:lastRowFirstColumn="0" w:lastRowLastColumn="0"/>
              <w:rPr>
                <w:bCs/>
              </w:rPr>
            </w:pPr>
            <w:r>
              <w:rPr>
                <w:bCs/>
              </w:rPr>
              <w:t>248</w:t>
            </w:r>
          </w:p>
        </w:tc>
        <w:tc>
          <w:tcPr>
            <w:tcW w:w="1559" w:type="dxa"/>
            <w:vAlign w:val="center"/>
          </w:tcPr>
          <w:p w14:paraId="3278B6C7" w14:textId="77777777" w:rsidR="003D5A61" w:rsidRPr="00A71E70" w:rsidRDefault="003D5A61" w:rsidP="003D5A61">
            <w:pPr>
              <w:keepNext/>
              <w:spacing w:after="120"/>
              <w:jc w:val="right"/>
              <w:cnfStyle w:val="000000100000" w:firstRow="0" w:lastRow="0" w:firstColumn="0" w:lastColumn="0" w:oddVBand="0" w:evenVBand="0" w:oddHBand="1" w:evenHBand="0" w:firstRowFirstColumn="0" w:firstRowLastColumn="0" w:lastRowFirstColumn="0" w:lastRowLastColumn="0"/>
              <w:rPr>
                <w:bCs/>
              </w:rPr>
            </w:pPr>
            <w:r>
              <w:rPr>
                <w:bCs/>
              </w:rPr>
              <w:t>0.50%</w:t>
            </w:r>
          </w:p>
        </w:tc>
        <w:tc>
          <w:tcPr>
            <w:tcW w:w="1134" w:type="dxa"/>
            <w:vAlign w:val="center"/>
          </w:tcPr>
          <w:p w14:paraId="5C08B11B" w14:textId="77777777" w:rsidR="003D5A61" w:rsidRPr="00A71E70" w:rsidRDefault="003D5A61" w:rsidP="003D5A61">
            <w:pPr>
              <w:keepNext/>
              <w:spacing w:after="120"/>
              <w:jc w:val="right"/>
              <w:cnfStyle w:val="000000100000" w:firstRow="0" w:lastRow="0" w:firstColumn="0" w:lastColumn="0" w:oddVBand="0" w:evenVBand="0" w:oddHBand="1" w:evenHBand="0" w:firstRowFirstColumn="0" w:firstRowLastColumn="0" w:lastRowFirstColumn="0" w:lastRowLastColumn="0"/>
              <w:rPr>
                <w:bCs/>
              </w:rPr>
            </w:pPr>
            <w:r>
              <w:rPr>
                <w:bCs/>
              </w:rPr>
              <w:t>318</w:t>
            </w:r>
          </w:p>
        </w:tc>
        <w:tc>
          <w:tcPr>
            <w:tcW w:w="1560" w:type="dxa"/>
            <w:vAlign w:val="center"/>
          </w:tcPr>
          <w:p w14:paraId="547F3738" w14:textId="77777777" w:rsidR="003D5A61" w:rsidRPr="00A71E70" w:rsidRDefault="003D5A61" w:rsidP="003D5A61">
            <w:pPr>
              <w:keepNext/>
              <w:spacing w:after="120"/>
              <w:jc w:val="right"/>
              <w:cnfStyle w:val="000000100000" w:firstRow="0" w:lastRow="0" w:firstColumn="0" w:lastColumn="0" w:oddVBand="0" w:evenVBand="0" w:oddHBand="1" w:evenHBand="0" w:firstRowFirstColumn="0" w:firstRowLastColumn="0" w:lastRowFirstColumn="0" w:lastRowLastColumn="0"/>
              <w:rPr>
                <w:bCs/>
              </w:rPr>
            </w:pPr>
            <w:r>
              <w:rPr>
                <w:bCs/>
              </w:rPr>
              <w:t>0.70%</w:t>
            </w:r>
          </w:p>
        </w:tc>
      </w:tr>
      <w:tr w:rsidR="003D5A61" w14:paraId="689E707D" w14:textId="77777777" w:rsidTr="003D5A61">
        <w:tc>
          <w:tcPr>
            <w:cnfStyle w:val="001000000000" w:firstRow="0" w:lastRow="0" w:firstColumn="1" w:lastColumn="0" w:oddVBand="0" w:evenVBand="0" w:oddHBand="0" w:evenHBand="0" w:firstRowFirstColumn="0" w:firstRowLastColumn="0" w:lastRowFirstColumn="0" w:lastRowLastColumn="0"/>
            <w:tcW w:w="3256" w:type="dxa"/>
            <w:shd w:val="clear" w:color="auto" w:fill="C00000"/>
            <w:vAlign w:val="center"/>
          </w:tcPr>
          <w:p w14:paraId="64B91A8A" w14:textId="77777777" w:rsidR="003D5A61" w:rsidRDefault="003D5A61" w:rsidP="003D5A61">
            <w:pPr>
              <w:keepNext/>
              <w:spacing w:after="120"/>
              <w:rPr>
                <w:b w:val="0"/>
              </w:rPr>
            </w:pPr>
            <w:r>
              <w:rPr>
                <w:b w:val="0"/>
              </w:rPr>
              <w:t>Total</w:t>
            </w:r>
          </w:p>
        </w:tc>
        <w:tc>
          <w:tcPr>
            <w:tcW w:w="1275" w:type="dxa"/>
            <w:shd w:val="clear" w:color="auto" w:fill="E5B8B7" w:themeFill="accent2" w:themeFillTint="66"/>
            <w:vAlign w:val="center"/>
          </w:tcPr>
          <w:p w14:paraId="2C3C0536" w14:textId="77777777" w:rsidR="003D5A61" w:rsidRPr="00A71E70" w:rsidRDefault="003D5A61" w:rsidP="003D5A61">
            <w:pPr>
              <w:keepNext/>
              <w:spacing w:after="120"/>
              <w:jc w:val="right"/>
              <w:cnfStyle w:val="000000000000" w:firstRow="0" w:lastRow="0" w:firstColumn="0" w:lastColumn="0" w:oddVBand="0" w:evenVBand="0" w:oddHBand="0" w:evenHBand="0" w:firstRowFirstColumn="0" w:firstRowLastColumn="0" w:lastRowFirstColumn="0" w:lastRowLastColumn="0"/>
              <w:rPr>
                <w:bCs/>
              </w:rPr>
            </w:pPr>
            <w:r>
              <w:rPr>
                <w:bCs/>
              </w:rPr>
              <w:t>20,209</w:t>
            </w:r>
          </w:p>
        </w:tc>
        <w:tc>
          <w:tcPr>
            <w:tcW w:w="1276" w:type="dxa"/>
            <w:shd w:val="clear" w:color="auto" w:fill="E5B8B7" w:themeFill="accent2" w:themeFillTint="66"/>
            <w:vAlign w:val="center"/>
          </w:tcPr>
          <w:p w14:paraId="15A0C3BC" w14:textId="77777777" w:rsidR="003D5A61" w:rsidRPr="00A71E70" w:rsidRDefault="003D5A61" w:rsidP="003D5A61">
            <w:pPr>
              <w:keepNext/>
              <w:spacing w:after="120"/>
              <w:jc w:val="right"/>
              <w:cnfStyle w:val="000000000000" w:firstRow="0" w:lastRow="0" w:firstColumn="0" w:lastColumn="0" w:oddVBand="0" w:evenVBand="0" w:oddHBand="0" w:evenHBand="0" w:firstRowFirstColumn="0" w:firstRowLastColumn="0" w:lastRowFirstColumn="0" w:lastRowLastColumn="0"/>
              <w:rPr>
                <w:bCs/>
              </w:rPr>
            </w:pPr>
            <w:r>
              <w:rPr>
                <w:bCs/>
              </w:rPr>
              <w:t>28,919</w:t>
            </w:r>
          </w:p>
        </w:tc>
        <w:tc>
          <w:tcPr>
            <w:tcW w:w="1559" w:type="dxa"/>
            <w:shd w:val="clear" w:color="auto" w:fill="E5B8B7" w:themeFill="accent2" w:themeFillTint="66"/>
            <w:vAlign w:val="center"/>
          </w:tcPr>
          <w:p w14:paraId="5381B1FA" w14:textId="77777777" w:rsidR="003D5A61" w:rsidRPr="00A71E70" w:rsidRDefault="003D5A61" w:rsidP="003D5A61">
            <w:pPr>
              <w:keepNext/>
              <w:spacing w:after="120"/>
              <w:jc w:val="right"/>
              <w:cnfStyle w:val="000000000000" w:firstRow="0" w:lastRow="0" w:firstColumn="0" w:lastColumn="0" w:oddVBand="0" w:evenVBand="0" w:oddHBand="0" w:evenHBand="0" w:firstRowFirstColumn="0" w:firstRowLastColumn="0" w:lastRowFirstColumn="0" w:lastRowLastColumn="0"/>
              <w:rPr>
                <w:bCs/>
              </w:rPr>
            </w:pPr>
            <w:r>
              <w:rPr>
                <w:bCs/>
              </w:rPr>
              <w:t>1.81%</w:t>
            </w:r>
          </w:p>
        </w:tc>
        <w:tc>
          <w:tcPr>
            <w:tcW w:w="1134" w:type="dxa"/>
            <w:shd w:val="clear" w:color="auto" w:fill="E5B8B7" w:themeFill="accent2" w:themeFillTint="66"/>
            <w:vAlign w:val="center"/>
          </w:tcPr>
          <w:p w14:paraId="3195A3E1" w14:textId="77777777" w:rsidR="003D5A61" w:rsidRPr="00A71E70" w:rsidRDefault="003D5A61" w:rsidP="003D5A61">
            <w:pPr>
              <w:keepNext/>
              <w:spacing w:after="120"/>
              <w:jc w:val="right"/>
              <w:cnfStyle w:val="000000000000" w:firstRow="0" w:lastRow="0" w:firstColumn="0" w:lastColumn="0" w:oddVBand="0" w:evenVBand="0" w:oddHBand="0" w:evenHBand="0" w:firstRowFirstColumn="0" w:firstRowLastColumn="0" w:lastRowFirstColumn="0" w:lastRowLastColumn="0"/>
              <w:rPr>
                <w:bCs/>
              </w:rPr>
            </w:pPr>
            <w:r>
              <w:rPr>
                <w:bCs/>
              </w:rPr>
              <w:t>39,816</w:t>
            </w:r>
          </w:p>
        </w:tc>
        <w:tc>
          <w:tcPr>
            <w:tcW w:w="1560" w:type="dxa"/>
            <w:shd w:val="clear" w:color="auto" w:fill="E5B8B7" w:themeFill="accent2" w:themeFillTint="66"/>
            <w:vAlign w:val="center"/>
          </w:tcPr>
          <w:p w14:paraId="54BCC355" w14:textId="77777777" w:rsidR="003D5A61" w:rsidRPr="00A71E70" w:rsidRDefault="003D5A61" w:rsidP="003D5A61">
            <w:pPr>
              <w:keepNext/>
              <w:spacing w:after="120"/>
              <w:jc w:val="right"/>
              <w:cnfStyle w:val="000000000000" w:firstRow="0" w:lastRow="0" w:firstColumn="0" w:lastColumn="0" w:oddVBand="0" w:evenVBand="0" w:oddHBand="0" w:evenHBand="0" w:firstRowFirstColumn="0" w:firstRowLastColumn="0" w:lastRowFirstColumn="0" w:lastRowLastColumn="0"/>
              <w:rPr>
                <w:bCs/>
              </w:rPr>
            </w:pPr>
            <w:r>
              <w:rPr>
                <w:bCs/>
              </w:rPr>
              <w:t>1.37%</w:t>
            </w:r>
          </w:p>
        </w:tc>
      </w:tr>
    </w:tbl>
    <w:bookmarkEnd w:id="15"/>
    <w:p w14:paraId="214E58BC" w14:textId="29EA6021" w:rsidR="003D5A61" w:rsidRPr="00FC6558" w:rsidRDefault="00FC6558" w:rsidP="003D5A61">
      <w:pPr>
        <w:rPr>
          <w:sz w:val="16"/>
          <w:szCs w:val="16"/>
        </w:rPr>
      </w:pPr>
      <w:r w:rsidRPr="00FC6558">
        <w:rPr>
          <w:sz w:val="16"/>
          <w:szCs w:val="16"/>
        </w:rPr>
        <w:t xml:space="preserve">Note: The estimates of value added in this table exclude the contribution of Owner Occupied Dwellings, which is only available at a regional level </w:t>
      </w:r>
      <w:r w:rsidR="006B12E6">
        <w:rPr>
          <w:sz w:val="16"/>
          <w:szCs w:val="16"/>
        </w:rPr>
        <w:t xml:space="preserve">and </w:t>
      </w:r>
      <w:r w:rsidRPr="00FC6558">
        <w:rPr>
          <w:sz w:val="16"/>
          <w:szCs w:val="16"/>
        </w:rPr>
        <w:t>estimated to be $</w:t>
      </w:r>
      <w:r w:rsidRPr="00FC6558">
        <w:rPr>
          <w:sz w:val="16"/>
          <w:szCs w:val="16"/>
          <w:vertAlign w:val="subscript"/>
        </w:rPr>
        <w:t>2018</w:t>
      </w:r>
      <w:r w:rsidRPr="00FC6558">
        <w:rPr>
          <w:sz w:val="16"/>
          <w:szCs w:val="16"/>
        </w:rPr>
        <w:t>1,652m in 2018 and $</w:t>
      </w:r>
      <w:r w:rsidRPr="00FC6558">
        <w:rPr>
          <w:sz w:val="16"/>
          <w:szCs w:val="16"/>
          <w:vertAlign w:val="subscript"/>
        </w:rPr>
        <w:t>2018</w:t>
      </w:r>
      <w:r w:rsidRPr="00FC6558">
        <w:rPr>
          <w:sz w:val="16"/>
          <w:szCs w:val="16"/>
        </w:rPr>
        <w:t xml:space="preserve">2,866m </w:t>
      </w:r>
      <w:r w:rsidR="006B12E6">
        <w:rPr>
          <w:sz w:val="16"/>
          <w:szCs w:val="16"/>
        </w:rPr>
        <w:t>by</w:t>
      </w:r>
      <w:r w:rsidRPr="00FC6558">
        <w:rPr>
          <w:sz w:val="16"/>
          <w:szCs w:val="16"/>
        </w:rPr>
        <w:t xml:space="preserve"> 2068.</w:t>
      </w:r>
    </w:p>
    <w:p w14:paraId="55AED84C" w14:textId="443BCA37" w:rsidR="003D5A61" w:rsidRDefault="003D5A61" w:rsidP="003D5A61">
      <w:pPr>
        <w:sectPr w:rsidR="003D5A61" w:rsidSect="008C5E60">
          <w:pgSz w:w="11906" w:h="16838"/>
          <w:pgMar w:top="1440" w:right="1440" w:bottom="1440" w:left="1440" w:header="708" w:footer="708" w:gutter="0"/>
          <w:cols w:space="708"/>
          <w:docGrid w:linePitch="360"/>
        </w:sectPr>
      </w:pPr>
      <w:r>
        <w:t xml:space="preserve">The value added projections for each industry </w:t>
      </w:r>
      <w:r w:rsidR="008077B9">
        <w:t xml:space="preserve">(excluding OODs) </w:t>
      </w:r>
      <w:r>
        <w:t>in the ten Waikato Region TAs</w:t>
      </w:r>
      <w:r>
        <w:rPr>
          <w:rStyle w:val="FootnoteReference"/>
        </w:rPr>
        <w:footnoteReference w:id="6"/>
      </w:r>
      <w:r>
        <w:t xml:space="preserve"> are presented in Figure 5. This enables a comparison of the main value added trends in each TA and projected changes. Note, the scales (in monetary terms) differ for each TA and, as can also be seen from Table 2 above, the level of economic activity across the TAs has a wide range, from </w:t>
      </w:r>
      <w:r w:rsidRPr="00B335B3">
        <w:t>Hamilton City</w:t>
      </w:r>
      <w:r>
        <w:t xml:space="preserve"> with a value added of over </w:t>
      </w:r>
      <w:r w:rsidRPr="00B335B3">
        <w:t>$</w:t>
      </w:r>
      <w:r w:rsidRPr="00B335B3">
        <w:rPr>
          <w:vertAlign w:val="subscript"/>
        </w:rPr>
        <w:t>2018</w:t>
      </w:r>
      <w:r w:rsidRPr="00B335B3">
        <w:t>8.4 billion</w:t>
      </w:r>
      <w:r>
        <w:t xml:space="preserve"> to </w:t>
      </w:r>
      <w:r w:rsidRPr="00B335B3">
        <w:t>Ōtorohanga District</w:t>
      </w:r>
      <w:r>
        <w:t xml:space="preserve"> with $</w:t>
      </w:r>
      <w:r w:rsidRPr="00B335B3">
        <w:rPr>
          <w:vertAlign w:val="subscript"/>
        </w:rPr>
        <w:t>2018</w:t>
      </w:r>
      <w:r w:rsidRPr="00B335B3">
        <w:t>436 million</w:t>
      </w:r>
      <w:r>
        <w:t>.</w:t>
      </w:r>
    </w:p>
    <w:p w14:paraId="2FACB7B3" w14:textId="0065AD94" w:rsidR="003D5A61" w:rsidRPr="005033D8" w:rsidRDefault="003D5A61" w:rsidP="003D5A61">
      <w:pPr>
        <w:rPr>
          <w:b/>
        </w:rPr>
      </w:pPr>
      <w:r w:rsidRPr="00AD05B8">
        <w:rPr>
          <w:b/>
        </w:rPr>
        <w:lastRenderedPageBreak/>
        <w:t>Figure 5</w:t>
      </w:r>
      <w:r>
        <w:rPr>
          <w:b/>
        </w:rPr>
        <w:t xml:space="preserve"> Projected Value Added by Industry in</w:t>
      </w:r>
      <w:r w:rsidR="00FC6558">
        <w:rPr>
          <w:b/>
        </w:rPr>
        <w:t xml:space="preserve"> each of</w:t>
      </w:r>
      <w:r>
        <w:rPr>
          <w:b/>
        </w:rPr>
        <w:t xml:space="preserve"> Waikato Region’s T</w:t>
      </w:r>
      <w:r w:rsidR="00FC6558">
        <w:rPr>
          <w:b/>
        </w:rPr>
        <w:t>erritorial Local Authoritie</w:t>
      </w:r>
      <w:r>
        <w:rPr>
          <w:b/>
        </w:rPr>
        <w:t>s</w:t>
      </w:r>
      <w:r w:rsidR="00FC6558">
        <w:rPr>
          <w:b/>
        </w:rPr>
        <w:t xml:space="preserve"> under a High Growth Scenario</w:t>
      </w:r>
      <w:r>
        <w:rPr>
          <w:b/>
        </w:rPr>
        <w:t>, 2018 to 2068</w:t>
      </w:r>
    </w:p>
    <w:p w14:paraId="10100A93" w14:textId="19492174" w:rsidR="003D5A61" w:rsidRPr="00D3435E" w:rsidRDefault="003D5A61" w:rsidP="003D5A61">
      <w:pPr>
        <w:sectPr w:rsidR="003D5A61" w:rsidRPr="00D3435E">
          <w:pgSz w:w="23814" w:h="16839" w:orient="landscape"/>
          <w:pgMar w:top="1440" w:right="1440" w:bottom="1440" w:left="1440" w:header="708" w:footer="708" w:gutter="0"/>
          <w:cols w:space="720"/>
        </w:sectPr>
      </w:pPr>
      <w:r>
        <w:rPr>
          <w:noProof/>
        </w:rPr>
        <w:drawing>
          <wp:inline distT="0" distB="0" distL="0" distR="0" wp14:anchorId="6A700DA6" wp14:editId="67C8965C">
            <wp:extent cx="13277850" cy="776287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277850" cy="7762875"/>
                    </a:xfrm>
                    <a:prstGeom prst="rect">
                      <a:avLst/>
                    </a:prstGeom>
                    <a:noFill/>
                    <a:ln>
                      <a:noFill/>
                    </a:ln>
                  </pic:spPr>
                </pic:pic>
              </a:graphicData>
            </a:graphic>
          </wp:inline>
        </w:drawing>
      </w:r>
      <w:r>
        <w:rPr>
          <w:sz w:val="18"/>
          <w:szCs w:val="18"/>
        </w:rPr>
        <w:t xml:space="preserve">Note: The vertical scale on each line charts varies. The </w:t>
      </w:r>
      <w:proofErr w:type="gramStart"/>
      <w:r>
        <w:rPr>
          <w:sz w:val="18"/>
          <w:szCs w:val="18"/>
        </w:rPr>
        <w:t>value added</w:t>
      </w:r>
      <w:proofErr w:type="gramEnd"/>
      <w:r>
        <w:rPr>
          <w:sz w:val="18"/>
          <w:szCs w:val="18"/>
        </w:rPr>
        <w:t xml:space="preserve"> figures for 2018 to 2020 are estimates based on ME</w:t>
      </w:r>
      <w:r w:rsidR="00FC6558">
        <w:rPr>
          <w:sz w:val="18"/>
          <w:szCs w:val="18"/>
        </w:rPr>
        <w:t>Research</w:t>
      </w:r>
      <w:r>
        <w:rPr>
          <w:sz w:val="18"/>
          <w:szCs w:val="18"/>
        </w:rPr>
        <w:t xml:space="preserve">’s multi-regional input-output table for the financial year ending March 2018 as derived from the latest available </w:t>
      </w:r>
      <w:r w:rsidR="00981F9D">
        <w:rPr>
          <w:sz w:val="18"/>
          <w:szCs w:val="18"/>
        </w:rPr>
        <w:t>StatsNZ</w:t>
      </w:r>
      <w:r>
        <w:rPr>
          <w:sz w:val="18"/>
          <w:szCs w:val="18"/>
        </w:rPr>
        <w:t xml:space="preserve"> Inter-Industry Study of the New Zealand economy.</w:t>
      </w:r>
    </w:p>
    <w:p w14:paraId="527253E3" w14:textId="77777777" w:rsidR="003D5A61" w:rsidRPr="000F323B" w:rsidRDefault="003D5A61" w:rsidP="003D5A61">
      <w:pPr>
        <w:pStyle w:val="Heading2"/>
      </w:pPr>
      <w:bookmarkStart w:id="16" w:name="_Toc70694890"/>
      <w:bookmarkStart w:id="17" w:name="_Toc403733073"/>
      <w:r>
        <w:lastRenderedPageBreak/>
        <w:t>Projected within each TA</w:t>
      </w:r>
      <w:bookmarkEnd w:id="16"/>
    </w:p>
    <w:p w14:paraId="070904EF" w14:textId="77777777" w:rsidR="003D5A61" w:rsidRDefault="003D5A61" w:rsidP="003D5A61">
      <w:pPr>
        <w:pStyle w:val="Heading3"/>
      </w:pPr>
      <w:bookmarkStart w:id="18" w:name="_Toc70694891"/>
      <w:bookmarkEnd w:id="17"/>
      <w:r>
        <w:t>Hamilton City</w:t>
      </w:r>
      <w:bookmarkEnd w:id="18"/>
    </w:p>
    <w:p w14:paraId="000EF3A9" w14:textId="522A2F6A" w:rsidR="003D5A61" w:rsidRDefault="003D5A61" w:rsidP="003D5A61">
      <w:r w:rsidRPr="0040098C">
        <w:t xml:space="preserve">Hamilton </w:t>
      </w:r>
      <w:r w:rsidR="00D23C33">
        <w:t>C</w:t>
      </w:r>
      <w:r w:rsidRPr="0040098C">
        <w:t>ity</w:t>
      </w:r>
      <w:r>
        <w:t xml:space="preserve"> is the dominant </w:t>
      </w:r>
      <w:r w:rsidR="00D23C33">
        <w:t>TA</w:t>
      </w:r>
      <w:r>
        <w:t xml:space="preserve"> in terms of economic activity in Waikato Region. With a value added contribution of $</w:t>
      </w:r>
      <w:r w:rsidRPr="0040098C">
        <w:rPr>
          <w:vertAlign w:val="subscript"/>
        </w:rPr>
        <w:t>2018</w:t>
      </w:r>
      <w:r w:rsidRPr="0040098C">
        <w:t>8.4</w:t>
      </w:r>
      <w:r>
        <w:t xml:space="preserve"> billion </w:t>
      </w:r>
      <w:r w:rsidR="003F7DD5">
        <w:t xml:space="preserve">(excluding OODs) </w:t>
      </w:r>
      <w:r>
        <w:t xml:space="preserve">in 2018 and a workforce of close to </w:t>
      </w:r>
      <w:r w:rsidRPr="0040098C">
        <w:t>100,400</w:t>
      </w:r>
      <w:r>
        <w:t xml:space="preserve"> MECs, it dwarfs the other</w:t>
      </w:r>
      <w:r w:rsidR="00D23C33">
        <w:t xml:space="preserve"> TA </w:t>
      </w:r>
      <w:r>
        <w:t>economies. Unsurprisingly with its relative size, it has a diversified industry structure.</w:t>
      </w:r>
    </w:p>
    <w:p w14:paraId="58A63BA9" w14:textId="77777777" w:rsidR="003D5A61" w:rsidRDefault="003D5A61" w:rsidP="003D5A61">
      <w:r>
        <w:t xml:space="preserve">The employment projections of each nineteen ANZSIC industries are presented in Figure 6. The biggest industry in 2018 employment terms is, and is projected to continue to be, </w:t>
      </w:r>
      <w:r w:rsidRPr="00F53A79">
        <w:t>Health Care and Social Assistance</w:t>
      </w:r>
      <w:r>
        <w:t xml:space="preserve">. With </w:t>
      </w:r>
      <w:r w:rsidRPr="00F53A79">
        <w:t>15,713</w:t>
      </w:r>
      <w:r>
        <w:t xml:space="preserve"> MECs in 2018, </w:t>
      </w:r>
      <w:r w:rsidRPr="00F53A79">
        <w:t>15.7</w:t>
      </w:r>
      <w:r>
        <w:t xml:space="preserve">% of Hamilton City’s employees are in this industry. </w:t>
      </w:r>
      <w:r w:rsidRPr="00F53A79">
        <w:t>Manufacturing</w:t>
      </w:r>
      <w:r>
        <w:t xml:space="preserve"> is the second biggest (</w:t>
      </w:r>
      <w:r w:rsidRPr="00F53A79">
        <w:t>10,116 MECs or 10.1</w:t>
      </w:r>
      <w:r>
        <w:t xml:space="preserve">%) followed by </w:t>
      </w:r>
      <w:r w:rsidRPr="00F53A79">
        <w:t>Retail Trade</w:t>
      </w:r>
      <w:r>
        <w:t xml:space="preserve"> (</w:t>
      </w:r>
      <w:r w:rsidRPr="00F53A79">
        <w:t>9,985 MECs or 10.</w:t>
      </w:r>
      <w:r>
        <w:t xml:space="preserve">0%) and </w:t>
      </w:r>
      <w:r w:rsidRPr="00F53A79">
        <w:t>Education and Training (9,334 MECs or 9.3</w:t>
      </w:r>
      <w:r>
        <w:t xml:space="preserve">%). </w:t>
      </w:r>
    </w:p>
    <w:p w14:paraId="7C4BB51C" w14:textId="7171D8C6" w:rsidR="003D5A61" w:rsidRPr="002A35AE" w:rsidRDefault="003D5A61" w:rsidP="003D5A61">
      <w:pPr>
        <w:rPr>
          <w:b/>
        </w:rPr>
      </w:pPr>
      <w:r w:rsidRPr="004A4D7D">
        <w:rPr>
          <w:b/>
        </w:rPr>
        <w:t>Figure 6</w:t>
      </w:r>
      <w:r>
        <w:rPr>
          <w:b/>
        </w:rPr>
        <w:t xml:space="preserve"> Hamilton City Employment</w:t>
      </w:r>
      <w:r w:rsidR="00080132">
        <w:rPr>
          <w:b/>
        </w:rPr>
        <w:t xml:space="preserve"> under a High Growth Scenario</w:t>
      </w:r>
      <w:r>
        <w:rPr>
          <w:b/>
        </w:rPr>
        <w:t>, 2018 to 2068</w:t>
      </w:r>
    </w:p>
    <w:p w14:paraId="7F6FDE2A" w14:textId="618EBC2F" w:rsidR="003D5A61" w:rsidRDefault="003D5A61" w:rsidP="003D5A61">
      <w:r>
        <w:rPr>
          <w:noProof/>
        </w:rPr>
        <w:drawing>
          <wp:inline distT="0" distB="0" distL="0" distR="0" wp14:anchorId="153D2755" wp14:editId="661AAE89">
            <wp:extent cx="5934075" cy="46386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4075" cy="4638675"/>
                    </a:xfrm>
                    <a:prstGeom prst="rect">
                      <a:avLst/>
                    </a:prstGeom>
                    <a:noFill/>
                    <a:ln>
                      <a:noFill/>
                    </a:ln>
                  </pic:spPr>
                </pic:pic>
              </a:graphicData>
            </a:graphic>
          </wp:inline>
        </w:drawing>
      </w:r>
      <w:r>
        <w:rPr>
          <w:sz w:val="18"/>
          <w:szCs w:val="18"/>
        </w:rPr>
        <w:t xml:space="preserve">Note: The employment figures for 2018 through to 2020 are actuals derived from </w:t>
      </w:r>
      <w:proofErr w:type="spellStart"/>
      <w:r w:rsidR="00981F9D">
        <w:rPr>
          <w:sz w:val="18"/>
          <w:szCs w:val="18"/>
        </w:rPr>
        <w:t>StatsNZ</w:t>
      </w:r>
      <w:r>
        <w:rPr>
          <w:sz w:val="18"/>
          <w:szCs w:val="18"/>
        </w:rPr>
        <w:t>’s</w:t>
      </w:r>
      <w:proofErr w:type="spellEnd"/>
      <w:r>
        <w:rPr>
          <w:sz w:val="18"/>
          <w:szCs w:val="18"/>
        </w:rPr>
        <w:t xml:space="preserve"> 2020 Business Directory.</w:t>
      </w:r>
    </w:p>
    <w:p w14:paraId="01AB0026" w14:textId="77777777" w:rsidR="003D5A61" w:rsidRDefault="003D5A61" w:rsidP="003D5A61">
      <w:r>
        <w:t>The projections for each TA can be explored by SA2. We extracted an example of an urban centre SA2 within Hamilton City for illustrative purposes. This is shown in Figure 7.</w:t>
      </w:r>
    </w:p>
    <w:p w14:paraId="18317445" w14:textId="220308CC" w:rsidR="003D5A61" w:rsidRPr="00013049" w:rsidRDefault="003D5A61" w:rsidP="003D5A61">
      <w:pPr>
        <w:keepNext/>
        <w:rPr>
          <w:b/>
        </w:rPr>
      </w:pPr>
      <w:r w:rsidRPr="004A4D7D">
        <w:rPr>
          <w:b/>
        </w:rPr>
        <w:lastRenderedPageBreak/>
        <w:t>Figure 7</w:t>
      </w:r>
      <w:r>
        <w:rPr>
          <w:b/>
        </w:rPr>
        <w:t xml:space="preserve"> Hamilton East SA2 Employment</w:t>
      </w:r>
      <w:r w:rsidR="00080132">
        <w:rPr>
          <w:b/>
        </w:rPr>
        <w:t xml:space="preserve"> under a High Growth Scenario</w:t>
      </w:r>
      <w:r>
        <w:rPr>
          <w:b/>
        </w:rPr>
        <w:t>, 2018 to 2068</w:t>
      </w:r>
    </w:p>
    <w:p w14:paraId="3C4632F7" w14:textId="53377387" w:rsidR="003D5A61" w:rsidRPr="000C092B" w:rsidRDefault="003D5A61" w:rsidP="003D5A61">
      <w:r>
        <w:rPr>
          <w:noProof/>
        </w:rPr>
        <w:drawing>
          <wp:inline distT="0" distB="0" distL="0" distR="0" wp14:anchorId="28A6A2A0" wp14:editId="1BB99A56">
            <wp:extent cx="5934075" cy="463867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4075" cy="4638675"/>
                    </a:xfrm>
                    <a:prstGeom prst="rect">
                      <a:avLst/>
                    </a:prstGeom>
                    <a:noFill/>
                    <a:ln>
                      <a:noFill/>
                    </a:ln>
                  </pic:spPr>
                </pic:pic>
              </a:graphicData>
            </a:graphic>
          </wp:inline>
        </w:drawing>
      </w:r>
      <w:r>
        <w:rPr>
          <w:sz w:val="18"/>
          <w:szCs w:val="18"/>
        </w:rPr>
        <w:t xml:space="preserve">Note: The employment figures for 2018 through to 2020 are actuals derived from </w:t>
      </w:r>
      <w:proofErr w:type="spellStart"/>
      <w:r w:rsidR="00981F9D">
        <w:rPr>
          <w:sz w:val="18"/>
          <w:szCs w:val="18"/>
        </w:rPr>
        <w:t>StatsNZ</w:t>
      </w:r>
      <w:r>
        <w:rPr>
          <w:sz w:val="18"/>
          <w:szCs w:val="18"/>
        </w:rPr>
        <w:t>’s</w:t>
      </w:r>
      <w:proofErr w:type="spellEnd"/>
      <w:r>
        <w:rPr>
          <w:sz w:val="18"/>
          <w:szCs w:val="18"/>
        </w:rPr>
        <w:t xml:space="preserve"> 2020 Business Directory.</w:t>
      </w:r>
    </w:p>
    <w:p w14:paraId="6C1E0B8A" w14:textId="45FAA601" w:rsidR="003D5A61" w:rsidRDefault="003D5A61" w:rsidP="003D5A61">
      <w:r>
        <w:t xml:space="preserve">The value added projections of each </w:t>
      </w:r>
      <w:r w:rsidR="003F7DD5">
        <w:t xml:space="preserve">of the </w:t>
      </w:r>
      <w:r>
        <w:t xml:space="preserve">nineteen ANZSIC industries are presented in Figure 8. In terms of value added, Manufacturing is the dominant industry for most of the period between 2018 and 2068. Manufacturing starts as the second biggest industry in 2018 employment terms behind Health Care and Social Assistance, but it catches up quickly growing from </w:t>
      </w:r>
      <w:r w:rsidRPr="000D022F">
        <w:t>$</w:t>
      </w:r>
      <w:r w:rsidRPr="000D022F">
        <w:rPr>
          <w:vertAlign w:val="subscript"/>
        </w:rPr>
        <w:t>2018</w:t>
      </w:r>
      <w:r w:rsidRPr="000D022F">
        <w:t>1.0</w:t>
      </w:r>
      <w:r>
        <w:t>1</w:t>
      </w:r>
      <w:r w:rsidRPr="000D022F">
        <w:t xml:space="preserve"> billion</w:t>
      </w:r>
      <w:r>
        <w:t xml:space="preserve"> in 2018 to </w:t>
      </w:r>
      <w:r w:rsidRPr="000D022F">
        <w:t>$</w:t>
      </w:r>
      <w:r w:rsidRPr="000D022F">
        <w:rPr>
          <w:vertAlign w:val="subscript"/>
        </w:rPr>
        <w:t>2018</w:t>
      </w:r>
      <w:r>
        <w:t>2</w:t>
      </w:r>
      <w:r w:rsidRPr="000D022F">
        <w:t>.0</w:t>
      </w:r>
      <w:r>
        <w:t>8</w:t>
      </w:r>
      <w:r w:rsidRPr="000D022F">
        <w:t xml:space="preserve"> billion</w:t>
      </w:r>
      <w:r>
        <w:t xml:space="preserve"> in 2068, contributing 12.1% of the TA’s total value added</w:t>
      </w:r>
      <w:r w:rsidR="00425EB2">
        <w:t xml:space="preserve"> (excluding OODs)</w:t>
      </w:r>
      <w:r>
        <w:t xml:space="preserve">. Health Care and Social Assistance starts with the value added of </w:t>
      </w:r>
      <w:r w:rsidRPr="000D022F">
        <w:t>$</w:t>
      </w:r>
      <w:r w:rsidRPr="000D022F">
        <w:rPr>
          <w:vertAlign w:val="subscript"/>
        </w:rPr>
        <w:t>2018</w:t>
      </w:r>
      <w:r w:rsidRPr="000D022F">
        <w:t>1.0</w:t>
      </w:r>
      <w:r>
        <w:t>3</w:t>
      </w:r>
      <w:r w:rsidRPr="000D022F">
        <w:t xml:space="preserve"> billion</w:t>
      </w:r>
      <w:r>
        <w:t xml:space="preserve"> and is projected to grow to </w:t>
      </w:r>
      <w:r w:rsidRPr="000D022F">
        <w:t>$</w:t>
      </w:r>
      <w:r w:rsidRPr="000D022F">
        <w:rPr>
          <w:vertAlign w:val="subscript"/>
        </w:rPr>
        <w:t>2018</w:t>
      </w:r>
      <w:r w:rsidRPr="000D022F">
        <w:t>1.</w:t>
      </w:r>
      <w:r>
        <w:t>87</w:t>
      </w:r>
      <w:r w:rsidRPr="000D022F">
        <w:t xml:space="preserve"> billion</w:t>
      </w:r>
      <w:r>
        <w:t xml:space="preserve">. </w:t>
      </w:r>
    </w:p>
    <w:p w14:paraId="57AD96DB" w14:textId="77777777" w:rsidR="003D5A61" w:rsidRDefault="003D5A61" w:rsidP="003D5A61">
      <w:r>
        <w:t xml:space="preserve">In 2018, Manufacturing is followed by </w:t>
      </w:r>
      <w:r w:rsidRPr="000D022F">
        <w:t>Electricity, Gas, Water and Waste services ($</w:t>
      </w:r>
      <w:r w:rsidRPr="000D022F">
        <w:rPr>
          <w:vertAlign w:val="subscript"/>
        </w:rPr>
        <w:t>2018</w:t>
      </w:r>
      <w:r w:rsidRPr="000D022F">
        <w:t>700 millio</w:t>
      </w:r>
      <w:r>
        <w:t xml:space="preserve">n) and </w:t>
      </w:r>
      <w:r w:rsidRPr="000D022F">
        <w:t>Rental, Hiring and Real Estate Services ($</w:t>
      </w:r>
      <w:r w:rsidRPr="000D022F">
        <w:rPr>
          <w:vertAlign w:val="subscript"/>
        </w:rPr>
        <w:t>2018</w:t>
      </w:r>
      <w:r w:rsidRPr="000D022F">
        <w:t>659 million</w:t>
      </w:r>
      <w:r>
        <w:t xml:space="preserve">). The value added of all industries in Hamilton City are projected to increase out to 2068, indicating a persistently growing economy. </w:t>
      </w:r>
    </w:p>
    <w:p w14:paraId="398134CA" w14:textId="77777777" w:rsidR="003D5A61" w:rsidRDefault="003D5A61" w:rsidP="003D5A61"/>
    <w:p w14:paraId="2CD2EC12" w14:textId="77777777" w:rsidR="003D5A61" w:rsidRDefault="003D5A61" w:rsidP="003D5A61"/>
    <w:p w14:paraId="7A61EA36" w14:textId="2D110A54" w:rsidR="003D5A61" w:rsidRDefault="003D5A61" w:rsidP="003D5A61">
      <w:pPr>
        <w:keepNext/>
        <w:rPr>
          <w:noProof/>
        </w:rPr>
      </w:pPr>
      <w:r w:rsidRPr="004D50B1">
        <w:rPr>
          <w:b/>
        </w:rPr>
        <w:lastRenderedPageBreak/>
        <w:t>Figure 8</w:t>
      </w:r>
      <w:r>
        <w:rPr>
          <w:b/>
        </w:rPr>
        <w:tab/>
        <w:t xml:space="preserve"> Hamilton City Value Added</w:t>
      </w:r>
      <w:r w:rsidR="00080132">
        <w:rPr>
          <w:b/>
        </w:rPr>
        <w:t xml:space="preserve"> under a High Growth Scenario</w:t>
      </w:r>
      <w:r>
        <w:rPr>
          <w:b/>
        </w:rPr>
        <w:t>, 2018 to 2068</w:t>
      </w:r>
    </w:p>
    <w:p w14:paraId="19630AB0" w14:textId="12667A75" w:rsidR="003D5A61" w:rsidRDefault="003D5A61" w:rsidP="003D5A61">
      <w:r>
        <w:rPr>
          <w:noProof/>
        </w:rPr>
        <w:drawing>
          <wp:inline distT="0" distB="0" distL="0" distR="0" wp14:anchorId="3A629049" wp14:editId="72461F73">
            <wp:extent cx="5934075" cy="463867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4075" cy="4638675"/>
                    </a:xfrm>
                    <a:prstGeom prst="rect">
                      <a:avLst/>
                    </a:prstGeom>
                    <a:noFill/>
                    <a:ln>
                      <a:noFill/>
                    </a:ln>
                  </pic:spPr>
                </pic:pic>
              </a:graphicData>
            </a:graphic>
          </wp:inline>
        </w:drawing>
      </w:r>
      <w:r>
        <w:rPr>
          <w:sz w:val="18"/>
          <w:szCs w:val="18"/>
        </w:rPr>
        <w:t xml:space="preserve">Note: The </w:t>
      </w:r>
      <w:proofErr w:type="gramStart"/>
      <w:r>
        <w:rPr>
          <w:sz w:val="18"/>
          <w:szCs w:val="18"/>
        </w:rPr>
        <w:t>value added</w:t>
      </w:r>
      <w:proofErr w:type="gramEnd"/>
      <w:r>
        <w:rPr>
          <w:sz w:val="18"/>
          <w:szCs w:val="18"/>
        </w:rPr>
        <w:t xml:space="preserve"> figures for 2018 to 2020 are estimates based on M</w:t>
      </w:r>
      <w:r w:rsidR="00FC6558">
        <w:rPr>
          <w:sz w:val="18"/>
          <w:szCs w:val="18"/>
        </w:rPr>
        <w:t>EResearch</w:t>
      </w:r>
      <w:r>
        <w:rPr>
          <w:sz w:val="18"/>
          <w:szCs w:val="18"/>
        </w:rPr>
        <w:t xml:space="preserve">’s multi-regional input-output table for the financial year ending March 2018 as derived from the latest available </w:t>
      </w:r>
      <w:r w:rsidR="00981F9D">
        <w:rPr>
          <w:sz w:val="18"/>
          <w:szCs w:val="18"/>
        </w:rPr>
        <w:t>StatsNZ</w:t>
      </w:r>
      <w:r>
        <w:rPr>
          <w:sz w:val="18"/>
          <w:szCs w:val="18"/>
        </w:rPr>
        <w:t xml:space="preserve"> Inter-Industry Study of the New Zealand economy.</w:t>
      </w:r>
    </w:p>
    <w:p w14:paraId="079DB92A" w14:textId="77777777" w:rsidR="003D5A61" w:rsidRDefault="003D5A61" w:rsidP="003D5A61">
      <w:pPr>
        <w:pStyle w:val="Heading3"/>
      </w:pPr>
      <w:bookmarkStart w:id="19" w:name="_Toc70694892"/>
      <w:r>
        <w:t>Waipa District</w:t>
      </w:r>
      <w:bookmarkEnd w:id="19"/>
    </w:p>
    <w:p w14:paraId="48D52EB7" w14:textId="3AA9A5E3" w:rsidR="003D5A61" w:rsidRDefault="003D5A61" w:rsidP="003D5A61">
      <w:r w:rsidRPr="00365851">
        <w:t>Waipa District</w:t>
      </w:r>
      <w:r>
        <w:t xml:space="preserve"> is the </w:t>
      </w:r>
      <w:r w:rsidR="003F7DD5">
        <w:t>third</w:t>
      </w:r>
      <w:r>
        <w:t xml:space="preserve"> largest TA in Waikato Region in terms of economic activity</w:t>
      </w:r>
      <w:r w:rsidR="003F7DD5">
        <w:t xml:space="preserve"> (as measured in value added terms)</w:t>
      </w:r>
      <w:r>
        <w:t xml:space="preserve">, </w:t>
      </w:r>
      <w:r w:rsidR="003F7DD5">
        <w:t xml:space="preserve">just behind </w:t>
      </w:r>
      <w:r w:rsidRPr="00365851">
        <w:t>Waikato District</w:t>
      </w:r>
      <w:r>
        <w:t xml:space="preserve">. </w:t>
      </w:r>
    </w:p>
    <w:p w14:paraId="356DEDA2" w14:textId="77777777" w:rsidR="003D5A61" w:rsidRDefault="003D5A61" w:rsidP="003D5A61">
      <w:r>
        <w:t xml:space="preserve">The employment projections of each nineteen ANZSIC industries are presented in Figure 9. </w:t>
      </w:r>
      <w:r w:rsidRPr="00365851">
        <w:t>Waipa District</w:t>
      </w:r>
      <w:r>
        <w:t xml:space="preserve"> is initially dominated </w:t>
      </w:r>
      <w:r w:rsidRPr="00365851">
        <w:t>by Agriculture, Forestry and Fishing,</w:t>
      </w:r>
      <w:r>
        <w:t xml:space="preserve"> wi</w:t>
      </w:r>
      <w:r w:rsidRPr="00365851">
        <w:t>th 3,867 MECs</w:t>
      </w:r>
      <w:r>
        <w:t xml:space="preserve"> out of a </w:t>
      </w:r>
      <w:r w:rsidRPr="00365851">
        <w:t>23,735 MEC total (16.3%) in</w:t>
      </w:r>
      <w:r>
        <w:t xml:space="preserve"> 2018. </w:t>
      </w:r>
      <w:r w:rsidRPr="00365851">
        <w:t>Construction is the industry</w:t>
      </w:r>
      <w:r>
        <w:t xml:space="preserve"> that employs the second greatest number of people (</w:t>
      </w:r>
      <w:r w:rsidRPr="00365851">
        <w:t>2,797 MECs in 2018, or 11.8% of total</w:t>
      </w:r>
      <w:r>
        <w:t xml:space="preserve"> employed), followed closely </w:t>
      </w:r>
      <w:r w:rsidRPr="00365851">
        <w:t>by Manufacturing (2,412 MECs or 10.2%).</w:t>
      </w:r>
      <w:r>
        <w:t xml:space="preserve"> The MECs in Construction eventually </w:t>
      </w:r>
      <w:r w:rsidRPr="00365851">
        <w:t>surpasses Agriculture, Forestry and Fishing. By 2068, it is projected that these three industries will have 12.3%, 12.3%, and 10.7%, respectively. Retail Trade, Education and Training, Professional, Scientific and Technical Services, and Health Care and Social Assistance are also</w:t>
      </w:r>
      <w:r>
        <w:t xml:space="preserve"> some of considerable industries in the district in terms of employment.</w:t>
      </w:r>
    </w:p>
    <w:p w14:paraId="554240CF" w14:textId="77777777" w:rsidR="003D5A61" w:rsidRDefault="003D5A61" w:rsidP="003D5A61">
      <w:r>
        <w:t xml:space="preserve">The somewhat smooth growth rates at a TA level mask more volatile projections at the SA2 level, with projected changes to the industry structure. We include employment </w:t>
      </w:r>
      <w:r w:rsidRPr="0045188E">
        <w:t xml:space="preserve">projections for </w:t>
      </w:r>
      <w:r>
        <w:t>Fencourt</w:t>
      </w:r>
      <w:r w:rsidRPr="0045188E">
        <w:t>, with</w:t>
      </w:r>
      <w:r>
        <w:t xml:space="preserve"> </w:t>
      </w:r>
      <w:r>
        <w:lastRenderedPageBreak/>
        <w:t xml:space="preserve">actual data up to 2020, and modelled data out to 2068. </w:t>
      </w:r>
      <w:r w:rsidRPr="0045188E">
        <w:t>This is an example of a quite diversified SA2</w:t>
      </w:r>
      <w:r>
        <w:t>, with numerous industries. The projections are shown in Figure 10.</w:t>
      </w:r>
    </w:p>
    <w:p w14:paraId="69BD20AF" w14:textId="77777777" w:rsidR="003D5A61" w:rsidRDefault="003D5A61" w:rsidP="003D5A61">
      <w:pPr>
        <w:rPr>
          <w:b/>
        </w:rPr>
      </w:pPr>
    </w:p>
    <w:p w14:paraId="179BD176" w14:textId="349140A7" w:rsidR="003D5A61" w:rsidRDefault="003D5A61" w:rsidP="003D5A61">
      <w:r w:rsidRPr="004D50B1">
        <w:rPr>
          <w:b/>
        </w:rPr>
        <w:t>Figure 9</w:t>
      </w:r>
      <w:r>
        <w:rPr>
          <w:b/>
        </w:rPr>
        <w:tab/>
        <w:t xml:space="preserve"> Waipa District Employment</w:t>
      </w:r>
      <w:r w:rsidR="00080132">
        <w:rPr>
          <w:b/>
        </w:rPr>
        <w:t xml:space="preserve"> under a High Growth Scenario</w:t>
      </w:r>
      <w:r>
        <w:rPr>
          <w:b/>
        </w:rPr>
        <w:t>, 2018 to 2068</w:t>
      </w:r>
    </w:p>
    <w:p w14:paraId="4FBF6752" w14:textId="2B39C54C" w:rsidR="003D5A61" w:rsidRPr="003435FC" w:rsidRDefault="003D5A61" w:rsidP="003D5A61">
      <w:r>
        <w:rPr>
          <w:noProof/>
        </w:rPr>
        <w:drawing>
          <wp:inline distT="0" distB="0" distL="0" distR="0" wp14:anchorId="0731844E" wp14:editId="11AD4BD4">
            <wp:extent cx="5934075" cy="46386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4075" cy="4638675"/>
                    </a:xfrm>
                    <a:prstGeom prst="rect">
                      <a:avLst/>
                    </a:prstGeom>
                    <a:noFill/>
                    <a:ln>
                      <a:noFill/>
                    </a:ln>
                  </pic:spPr>
                </pic:pic>
              </a:graphicData>
            </a:graphic>
          </wp:inline>
        </w:drawing>
      </w:r>
      <w:r>
        <w:rPr>
          <w:sz w:val="18"/>
          <w:szCs w:val="18"/>
        </w:rPr>
        <w:t xml:space="preserve">Note: The employment figures for 2018 through to 2020 are actuals derived from </w:t>
      </w:r>
      <w:proofErr w:type="spellStart"/>
      <w:r w:rsidR="00981F9D">
        <w:rPr>
          <w:sz w:val="18"/>
          <w:szCs w:val="18"/>
        </w:rPr>
        <w:t>StatsNZ</w:t>
      </w:r>
      <w:r>
        <w:rPr>
          <w:sz w:val="18"/>
          <w:szCs w:val="18"/>
        </w:rPr>
        <w:t>’s</w:t>
      </w:r>
      <w:proofErr w:type="spellEnd"/>
      <w:r>
        <w:rPr>
          <w:sz w:val="18"/>
          <w:szCs w:val="18"/>
        </w:rPr>
        <w:t xml:space="preserve"> 2020 Business Directory.</w:t>
      </w:r>
    </w:p>
    <w:p w14:paraId="7CEB8B41" w14:textId="77777777" w:rsidR="003D5A61" w:rsidRDefault="003D5A61" w:rsidP="003D5A61"/>
    <w:p w14:paraId="734A2DFA" w14:textId="77777777" w:rsidR="003D5A61" w:rsidRDefault="003D5A61" w:rsidP="003D5A61"/>
    <w:p w14:paraId="7FD2C947" w14:textId="77777777" w:rsidR="003D5A61" w:rsidRDefault="003D5A61" w:rsidP="003D5A61"/>
    <w:p w14:paraId="54809391" w14:textId="77777777" w:rsidR="003D5A61" w:rsidRDefault="003D5A61" w:rsidP="003D5A61"/>
    <w:p w14:paraId="63A9F55E" w14:textId="77777777" w:rsidR="003D5A61" w:rsidRDefault="003D5A61" w:rsidP="003D5A61"/>
    <w:p w14:paraId="0458948E" w14:textId="1D5BE3CB" w:rsidR="003D5A61" w:rsidRPr="00EA7C6F" w:rsidRDefault="003D5A61" w:rsidP="003D5A61">
      <w:pPr>
        <w:keepNext/>
        <w:rPr>
          <w:b/>
        </w:rPr>
      </w:pPr>
      <w:r w:rsidRPr="004D50B1">
        <w:rPr>
          <w:b/>
        </w:rPr>
        <w:lastRenderedPageBreak/>
        <w:t xml:space="preserve">Figure </w:t>
      </w:r>
      <w:r w:rsidRPr="005D775D">
        <w:rPr>
          <w:b/>
        </w:rPr>
        <w:t xml:space="preserve">10 </w:t>
      </w:r>
      <w:r>
        <w:rPr>
          <w:b/>
        </w:rPr>
        <w:t>Fencourt</w:t>
      </w:r>
      <w:r w:rsidRPr="005D775D">
        <w:rPr>
          <w:b/>
        </w:rPr>
        <w:t xml:space="preserve"> SA2</w:t>
      </w:r>
      <w:r>
        <w:rPr>
          <w:b/>
        </w:rPr>
        <w:t xml:space="preserve"> Employment</w:t>
      </w:r>
      <w:r w:rsidR="00080132">
        <w:rPr>
          <w:b/>
        </w:rPr>
        <w:t xml:space="preserve"> under a High Growth Scenario</w:t>
      </w:r>
      <w:r>
        <w:rPr>
          <w:b/>
        </w:rPr>
        <w:t>, 2018 to 2068</w:t>
      </w:r>
    </w:p>
    <w:p w14:paraId="5547C55B" w14:textId="7D6D9C4B" w:rsidR="003D5A61" w:rsidRPr="00294173" w:rsidRDefault="003D5A61" w:rsidP="003D5A61">
      <w:r>
        <w:rPr>
          <w:noProof/>
        </w:rPr>
        <w:drawing>
          <wp:inline distT="0" distB="0" distL="0" distR="0" wp14:anchorId="4042ACED" wp14:editId="58F0E0AE">
            <wp:extent cx="5934075" cy="4638675"/>
            <wp:effectExtent l="0" t="0" r="952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4075" cy="4638675"/>
                    </a:xfrm>
                    <a:prstGeom prst="rect">
                      <a:avLst/>
                    </a:prstGeom>
                    <a:noFill/>
                    <a:ln>
                      <a:noFill/>
                    </a:ln>
                  </pic:spPr>
                </pic:pic>
              </a:graphicData>
            </a:graphic>
          </wp:inline>
        </w:drawing>
      </w:r>
      <w:r>
        <w:rPr>
          <w:sz w:val="18"/>
          <w:szCs w:val="18"/>
        </w:rPr>
        <w:t xml:space="preserve">Note: The employment figures for 2018 through to 2020 are actuals derived from </w:t>
      </w:r>
      <w:proofErr w:type="spellStart"/>
      <w:r w:rsidR="00981F9D">
        <w:rPr>
          <w:sz w:val="18"/>
          <w:szCs w:val="18"/>
        </w:rPr>
        <w:t>StatsNZ</w:t>
      </w:r>
      <w:r>
        <w:rPr>
          <w:sz w:val="18"/>
          <w:szCs w:val="18"/>
        </w:rPr>
        <w:t>’s</w:t>
      </w:r>
      <w:proofErr w:type="spellEnd"/>
      <w:r>
        <w:rPr>
          <w:sz w:val="18"/>
          <w:szCs w:val="18"/>
        </w:rPr>
        <w:t xml:space="preserve"> 2020 Business Directory.</w:t>
      </w:r>
    </w:p>
    <w:p w14:paraId="3D6B0F9F" w14:textId="115A0F0D" w:rsidR="003D5A61" w:rsidRDefault="003D5A61" w:rsidP="003D5A61">
      <w:r>
        <w:t xml:space="preserve">In terms of economic contribution to the district’s value added, </w:t>
      </w:r>
      <w:r w:rsidRPr="0046307A">
        <w:t>Agriculture, Forestry and Fishing</w:t>
      </w:r>
      <w:r>
        <w:t xml:space="preserve"> is consistently the greatest contributor, with $</w:t>
      </w:r>
      <w:r w:rsidRPr="0046307A">
        <w:rPr>
          <w:vertAlign w:val="subscript"/>
        </w:rPr>
        <w:t>2018</w:t>
      </w:r>
      <w:r w:rsidRPr="0046307A">
        <w:t>375 million in 2018. Manufacturing ($</w:t>
      </w:r>
      <w:r w:rsidRPr="0046307A">
        <w:rPr>
          <w:vertAlign w:val="subscript"/>
        </w:rPr>
        <w:t>2018</w:t>
      </w:r>
      <w:r w:rsidRPr="0046307A">
        <w:t>269 million) is the</w:t>
      </w:r>
      <w:r>
        <w:t xml:space="preserve"> second largest value added industry in the district in 2018. Construction contributed $</w:t>
      </w:r>
      <w:r w:rsidRPr="0046307A">
        <w:rPr>
          <w:vertAlign w:val="subscript"/>
        </w:rPr>
        <w:t>2018</w:t>
      </w:r>
      <w:r w:rsidRPr="0046307A">
        <w:t>200 million in 2018 followed by Rental, Hiring and Real Estate Services contributing $</w:t>
      </w:r>
      <w:r w:rsidRPr="0046307A">
        <w:rPr>
          <w:vertAlign w:val="subscript"/>
        </w:rPr>
        <w:t>2018</w:t>
      </w:r>
      <w:r w:rsidRPr="0046307A">
        <w:t>199 million.</w:t>
      </w:r>
    </w:p>
    <w:p w14:paraId="4F431F40" w14:textId="77777777" w:rsidR="003D5A61" w:rsidRDefault="003D5A61" w:rsidP="003D5A61">
      <w:r>
        <w:t xml:space="preserve">The projected changes of industry’s value added to 2068 are presented in </w:t>
      </w:r>
      <w:r w:rsidRPr="004D50B1">
        <w:t>Figure 11</w:t>
      </w:r>
      <w:r>
        <w:t xml:space="preserve">. All the industries are showing positive </w:t>
      </w:r>
      <w:r w:rsidRPr="0046307A">
        <w:t>projections. Manufacturing is a stand-out, increasing from $</w:t>
      </w:r>
      <w:r w:rsidRPr="0046307A">
        <w:rPr>
          <w:vertAlign w:val="subscript"/>
        </w:rPr>
        <w:t>2018</w:t>
      </w:r>
      <w:r w:rsidRPr="0046307A">
        <w:t>269 million to $</w:t>
      </w:r>
      <w:r w:rsidRPr="0046307A">
        <w:rPr>
          <w:vertAlign w:val="subscript"/>
        </w:rPr>
        <w:t>2018</w:t>
      </w:r>
      <w:r w:rsidRPr="0046307A">
        <w:t>598 million. It almost catches up to Agriculture, Forestry and Fishing of which the VA is projected to grow from $</w:t>
      </w:r>
      <w:r w:rsidRPr="0046307A">
        <w:rPr>
          <w:vertAlign w:val="subscript"/>
        </w:rPr>
        <w:t>2018</w:t>
      </w:r>
      <w:r w:rsidRPr="0046307A">
        <w:t>375 million to $</w:t>
      </w:r>
      <w:r w:rsidRPr="0046307A">
        <w:rPr>
          <w:vertAlign w:val="subscript"/>
        </w:rPr>
        <w:t>2018</w:t>
      </w:r>
      <w:r w:rsidRPr="0046307A">
        <w:t>626 million.</w:t>
      </w:r>
    </w:p>
    <w:p w14:paraId="5D12C7F2" w14:textId="77777777" w:rsidR="003D5A61" w:rsidRDefault="003D5A61" w:rsidP="003D5A61"/>
    <w:p w14:paraId="348D65C2" w14:textId="77777777" w:rsidR="003D5A61" w:rsidRDefault="003D5A61" w:rsidP="003D5A61"/>
    <w:p w14:paraId="746AD480" w14:textId="33F01045" w:rsidR="003D5A61" w:rsidRPr="002A35AE" w:rsidRDefault="003D5A61" w:rsidP="003D5A61">
      <w:pPr>
        <w:keepNext/>
        <w:rPr>
          <w:b/>
        </w:rPr>
      </w:pPr>
      <w:r w:rsidRPr="0005252F">
        <w:rPr>
          <w:b/>
        </w:rPr>
        <w:lastRenderedPageBreak/>
        <w:t>Figure 11</w:t>
      </w:r>
      <w:r>
        <w:rPr>
          <w:b/>
        </w:rPr>
        <w:t xml:space="preserve"> Waipa District Value Added</w:t>
      </w:r>
      <w:r w:rsidR="00080132">
        <w:rPr>
          <w:b/>
        </w:rPr>
        <w:t xml:space="preserve"> under a High Growth Scenario</w:t>
      </w:r>
      <w:r>
        <w:rPr>
          <w:b/>
        </w:rPr>
        <w:t>, 2018 to 2068</w:t>
      </w:r>
    </w:p>
    <w:p w14:paraId="4167376C" w14:textId="0C5378D3" w:rsidR="003D5A61" w:rsidRPr="0019199A" w:rsidRDefault="003D5A61" w:rsidP="003D5A61">
      <w:r>
        <w:rPr>
          <w:noProof/>
        </w:rPr>
        <w:drawing>
          <wp:inline distT="0" distB="0" distL="0" distR="0" wp14:anchorId="2BE85239" wp14:editId="0AA71479">
            <wp:extent cx="5934075" cy="46386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4075" cy="4638675"/>
                    </a:xfrm>
                    <a:prstGeom prst="rect">
                      <a:avLst/>
                    </a:prstGeom>
                    <a:noFill/>
                    <a:ln>
                      <a:noFill/>
                    </a:ln>
                  </pic:spPr>
                </pic:pic>
              </a:graphicData>
            </a:graphic>
          </wp:inline>
        </w:drawing>
      </w:r>
      <w:r>
        <w:rPr>
          <w:sz w:val="18"/>
          <w:szCs w:val="18"/>
        </w:rPr>
        <w:t xml:space="preserve">Note: The </w:t>
      </w:r>
      <w:proofErr w:type="gramStart"/>
      <w:r>
        <w:rPr>
          <w:sz w:val="18"/>
          <w:szCs w:val="18"/>
        </w:rPr>
        <w:t>value added</w:t>
      </w:r>
      <w:proofErr w:type="gramEnd"/>
      <w:r>
        <w:rPr>
          <w:sz w:val="18"/>
          <w:szCs w:val="18"/>
        </w:rPr>
        <w:t xml:space="preserve"> figures for 2018 to 2020 are estimates based on M</w:t>
      </w:r>
      <w:r w:rsidR="00FC6558">
        <w:rPr>
          <w:sz w:val="18"/>
          <w:szCs w:val="18"/>
        </w:rPr>
        <w:t>EResearch</w:t>
      </w:r>
      <w:r>
        <w:rPr>
          <w:sz w:val="18"/>
          <w:szCs w:val="18"/>
        </w:rPr>
        <w:t xml:space="preserve">’s multi-regional input-output table for the financial year ending March 2018 as derived from the latest available </w:t>
      </w:r>
      <w:r w:rsidR="00981F9D">
        <w:rPr>
          <w:sz w:val="18"/>
          <w:szCs w:val="18"/>
        </w:rPr>
        <w:t>StatsNZ</w:t>
      </w:r>
      <w:r>
        <w:rPr>
          <w:sz w:val="18"/>
          <w:szCs w:val="18"/>
        </w:rPr>
        <w:t xml:space="preserve"> Inter-Industry Study of the New Zealand economy.</w:t>
      </w:r>
    </w:p>
    <w:p w14:paraId="2FC60D11" w14:textId="77777777" w:rsidR="003D5A61" w:rsidRDefault="003D5A61" w:rsidP="003D5A61">
      <w:pPr>
        <w:pStyle w:val="Heading3"/>
      </w:pPr>
      <w:bookmarkStart w:id="20" w:name="_Toc70694893"/>
      <w:r>
        <w:t>Waikato District</w:t>
      </w:r>
      <w:bookmarkEnd w:id="20"/>
    </w:p>
    <w:p w14:paraId="5BF00F0E" w14:textId="77777777" w:rsidR="003D5A61" w:rsidRDefault="003D5A61" w:rsidP="003D5A61">
      <w:r>
        <w:t xml:space="preserve">The employment projections of each nineteen ANZSIC industries are presented in Figure 12. Waikato District is dominated </w:t>
      </w:r>
      <w:r w:rsidRPr="00CE53AA">
        <w:t>by Agriculture, Forestry and Fishing, with 6,202 of the 23,833 people</w:t>
      </w:r>
      <w:r>
        <w:t xml:space="preserve"> employed, situated in this sector in </w:t>
      </w:r>
      <w:r w:rsidRPr="00CE53AA">
        <w:t>2018.  This is 26.0% of the</w:t>
      </w:r>
      <w:r>
        <w:t xml:space="preserve"> district’s MECs</w:t>
      </w:r>
      <w:r w:rsidRPr="00CE53AA">
        <w:t>. Agriculture, Forestry and Fishing is projected to grow to 9,763 MECs by 2068. Construction is the second largest</w:t>
      </w:r>
      <w:r>
        <w:t xml:space="preserve"> in terms of </w:t>
      </w:r>
      <w:r w:rsidRPr="00CE53AA">
        <w:t>employment, with 3,124 MECs</w:t>
      </w:r>
      <w:r>
        <w:t xml:space="preserve"> employed in 2018. </w:t>
      </w:r>
      <w:r w:rsidRPr="00CE53AA">
        <w:t>Manufacturing and Education and Training are the third and fourth largest industries in terms of employment in 2018, with 2,557 and 1,926 MECs respectively</w:t>
      </w:r>
      <w:r>
        <w:t xml:space="preserve">. </w:t>
      </w:r>
    </w:p>
    <w:p w14:paraId="237E69AC" w14:textId="77777777" w:rsidR="003D5A61" w:rsidRDefault="003D5A61" w:rsidP="003D5A61"/>
    <w:p w14:paraId="43A8C04E" w14:textId="77777777" w:rsidR="003D5A61" w:rsidRDefault="003D5A61" w:rsidP="003D5A61"/>
    <w:p w14:paraId="3BE63B7D" w14:textId="77777777" w:rsidR="003D5A61" w:rsidRDefault="003D5A61" w:rsidP="003D5A61"/>
    <w:p w14:paraId="24496EBD" w14:textId="380529D7" w:rsidR="003D5A61" w:rsidRPr="002A35AE" w:rsidRDefault="003D5A61" w:rsidP="003D5A61">
      <w:pPr>
        <w:keepNext/>
        <w:rPr>
          <w:b/>
        </w:rPr>
      </w:pPr>
      <w:r w:rsidRPr="0005252F">
        <w:rPr>
          <w:b/>
        </w:rPr>
        <w:lastRenderedPageBreak/>
        <w:t>Figure 12</w:t>
      </w:r>
      <w:r>
        <w:rPr>
          <w:b/>
        </w:rPr>
        <w:t xml:space="preserve"> Waikato District Employment</w:t>
      </w:r>
      <w:r w:rsidR="00080132">
        <w:rPr>
          <w:b/>
        </w:rPr>
        <w:t xml:space="preserve"> under a High Growth Scenario</w:t>
      </w:r>
      <w:r>
        <w:rPr>
          <w:b/>
        </w:rPr>
        <w:t>, 2018 to 2068</w:t>
      </w:r>
    </w:p>
    <w:p w14:paraId="302A141D" w14:textId="1748EAF6" w:rsidR="003D5A61" w:rsidRPr="00C83B36" w:rsidRDefault="003D5A61" w:rsidP="003D5A61">
      <w:r>
        <w:rPr>
          <w:noProof/>
        </w:rPr>
        <w:drawing>
          <wp:inline distT="0" distB="0" distL="0" distR="0" wp14:anchorId="46C92F89" wp14:editId="2F3182D9">
            <wp:extent cx="5934075" cy="46386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4075" cy="4638675"/>
                    </a:xfrm>
                    <a:prstGeom prst="rect">
                      <a:avLst/>
                    </a:prstGeom>
                    <a:noFill/>
                    <a:ln>
                      <a:noFill/>
                    </a:ln>
                  </pic:spPr>
                </pic:pic>
              </a:graphicData>
            </a:graphic>
          </wp:inline>
        </w:drawing>
      </w:r>
      <w:r>
        <w:rPr>
          <w:sz w:val="18"/>
          <w:szCs w:val="18"/>
        </w:rPr>
        <w:t xml:space="preserve">Note: The employment figures for 2018 through to 2020 are actuals derived from </w:t>
      </w:r>
      <w:proofErr w:type="spellStart"/>
      <w:r w:rsidR="00981F9D">
        <w:rPr>
          <w:sz w:val="18"/>
          <w:szCs w:val="18"/>
        </w:rPr>
        <w:t>StatsNZ</w:t>
      </w:r>
      <w:r>
        <w:rPr>
          <w:sz w:val="18"/>
          <w:szCs w:val="18"/>
        </w:rPr>
        <w:t>’s</w:t>
      </w:r>
      <w:proofErr w:type="spellEnd"/>
      <w:r>
        <w:rPr>
          <w:sz w:val="18"/>
          <w:szCs w:val="18"/>
        </w:rPr>
        <w:t xml:space="preserve"> 2020 Business Directory.</w:t>
      </w:r>
    </w:p>
    <w:p w14:paraId="59527300" w14:textId="2E6CE45D" w:rsidR="003D5A61" w:rsidRDefault="003D5A61" w:rsidP="003D5A61">
      <w:r>
        <w:t xml:space="preserve">We selected an </w:t>
      </w:r>
      <w:r w:rsidR="003F7DD5">
        <w:t>SA2</w:t>
      </w:r>
      <w:r>
        <w:t xml:space="preserve"> within Waikato District that is highly dependent on one industry. In this case, Pōkeno is clearly </w:t>
      </w:r>
      <w:r w:rsidRPr="00FC5AE8">
        <w:t>dependent on Manufacturing</w:t>
      </w:r>
      <w:r>
        <w:t>. This is shown in the employment projections presented in Figure 13.  The modelled projection returns a steep increase in employment initially before stabilising. However, caution is warranted in reporting at a SA2 level, as there is much uncertainty at the level of accuracy of projections at this resolution.</w:t>
      </w:r>
    </w:p>
    <w:p w14:paraId="4B12B85E" w14:textId="554FCD5C" w:rsidR="003D5A61" w:rsidRDefault="003D5A61" w:rsidP="003D5A61">
      <w:r>
        <w:t xml:space="preserve">The value added projections of each nineteen ANZSIC industries are presented in Figure 14. </w:t>
      </w:r>
      <w:r w:rsidRPr="00FC5AE8">
        <w:t xml:space="preserve">Agriculture, Forestry and Fishing is estimated to have contributed </w:t>
      </w:r>
      <w:r w:rsidRPr="00FC5AE8">
        <w:rPr>
          <w:noProof/>
        </w:rPr>
        <w:t>$</w:t>
      </w:r>
      <w:r w:rsidRPr="00FC5AE8">
        <w:rPr>
          <w:noProof/>
          <w:vertAlign w:val="subscript"/>
        </w:rPr>
        <w:t>2018</w:t>
      </w:r>
      <w:r w:rsidRPr="00FC5AE8">
        <w:t xml:space="preserve">600 million to Waikato District, or 27.3% of the </w:t>
      </w:r>
      <w:r w:rsidRPr="00FC5AE8">
        <w:rPr>
          <w:noProof/>
        </w:rPr>
        <w:t>$</w:t>
      </w:r>
      <w:r w:rsidRPr="00FC5AE8">
        <w:rPr>
          <w:noProof/>
          <w:vertAlign w:val="subscript"/>
        </w:rPr>
        <w:t>2018</w:t>
      </w:r>
      <w:r w:rsidRPr="00FC5AE8">
        <w:t xml:space="preserve">2.20 billion total </w:t>
      </w:r>
      <w:r w:rsidR="00425EB2">
        <w:t xml:space="preserve">(excluding OODs) </w:t>
      </w:r>
      <w:r w:rsidRPr="00FC5AE8">
        <w:t>in</w:t>
      </w:r>
      <w:r>
        <w:t xml:space="preserve"> </w:t>
      </w:r>
      <w:r w:rsidRPr="00FC5AE8">
        <w:t xml:space="preserve">2018. Agriculture, Forestry and Fishing also has a great projected total growth in terms of value added, reaching </w:t>
      </w:r>
      <w:r w:rsidRPr="00FC5AE8">
        <w:rPr>
          <w:noProof/>
        </w:rPr>
        <w:t>$</w:t>
      </w:r>
      <w:r w:rsidRPr="00FC5AE8">
        <w:rPr>
          <w:noProof/>
          <w:vertAlign w:val="subscript"/>
        </w:rPr>
        <w:t>2018</w:t>
      </w:r>
      <w:r w:rsidRPr="00FC5AE8">
        <w:t xml:space="preserve">1.30 billion by 2068. The contribution of Manufacturing to the district’s economy is also set to rise, increasing by 174% from </w:t>
      </w:r>
      <w:r w:rsidRPr="00FC5AE8">
        <w:rPr>
          <w:noProof/>
        </w:rPr>
        <w:t>$</w:t>
      </w:r>
      <w:r w:rsidRPr="00FC5AE8">
        <w:rPr>
          <w:noProof/>
          <w:vertAlign w:val="subscript"/>
        </w:rPr>
        <w:t>2018</w:t>
      </w:r>
      <w:r w:rsidRPr="00FC5AE8">
        <w:t xml:space="preserve">226 million in 2018 to </w:t>
      </w:r>
      <w:r w:rsidRPr="00FC5AE8">
        <w:rPr>
          <w:noProof/>
        </w:rPr>
        <w:t>$</w:t>
      </w:r>
      <w:r w:rsidRPr="00FC5AE8">
        <w:rPr>
          <w:noProof/>
          <w:vertAlign w:val="subscript"/>
        </w:rPr>
        <w:t>2018</w:t>
      </w:r>
      <w:r w:rsidRPr="00FC5AE8">
        <w:t>619 million by 2068</w:t>
      </w:r>
      <w:r>
        <w:t xml:space="preserve">. </w:t>
      </w:r>
      <w:r w:rsidRPr="00FC5AE8">
        <w:t xml:space="preserve">The contribution of Information Media and Telecommunications to the district’s economy had the highest growth rate, with </w:t>
      </w:r>
      <w:r w:rsidRPr="00FC5AE8">
        <w:rPr>
          <w:noProof/>
        </w:rPr>
        <w:t>$</w:t>
      </w:r>
      <w:r w:rsidRPr="00FC5AE8">
        <w:rPr>
          <w:noProof/>
          <w:vertAlign w:val="subscript"/>
        </w:rPr>
        <w:t>2018</w:t>
      </w:r>
      <w:r w:rsidRPr="00FC5AE8">
        <w:t xml:space="preserve">18.1 million in 2018 and projected to reach </w:t>
      </w:r>
      <w:r w:rsidRPr="00FC5AE8">
        <w:rPr>
          <w:noProof/>
        </w:rPr>
        <w:t>$</w:t>
      </w:r>
      <w:r w:rsidRPr="00FC5AE8">
        <w:rPr>
          <w:noProof/>
          <w:vertAlign w:val="subscript"/>
        </w:rPr>
        <w:t>2018</w:t>
      </w:r>
      <w:r w:rsidRPr="00FC5AE8">
        <w:t>69.7 million in 2068.</w:t>
      </w:r>
    </w:p>
    <w:p w14:paraId="0C01B779" w14:textId="75FC3B16" w:rsidR="003D5A61" w:rsidRPr="005D775D" w:rsidRDefault="003D5A61" w:rsidP="003D5A61">
      <w:pPr>
        <w:keepNext/>
        <w:rPr>
          <w:b/>
        </w:rPr>
      </w:pPr>
      <w:r w:rsidRPr="0005252F">
        <w:rPr>
          <w:b/>
        </w:rPr>
        <w:lastRenderedPageBreak/>
        <w:t>Figure 13</w:t>
      </w:r>
      <w:r>
        <w:rPr>
          <w:b/>
        </w:rPr>
        <w:t xml:space="preserve"> P</w:t>
      </w:r>
      <w:r w:rsidRPr="006D6321">
        <w:rPr>
          <w:b/>
        </w:rPr>
        <w:t>ō</w:t>
      </w:r>
      <w:r>
        <w:rPr>
          <w:b/>
        </w:rPr>
        <w:t>keno SA2 Employment</w:t>
      </w:r>
      <w:r w:rsidR="00080132">
        <w:rPr>
          <w:b/>
        </w:rPr>
        <w:t xml:space="preserve"> under a High Growth Scenario</w:t>
      </w:r>
      <w:r>
        <w:rPr>
          <w:b/>
        </w:rPr>
        <w:t>, 2018 to 2068</w:t>
      </w:r>
    </w:p>
    <w:p w14:paraId="38E8493E" w14:textId="6DE12F13" w:rsidR="003D5A61" w:rsidRPr="00D353AC" w:rsidRDefault="003D5A61" w:rsidP="003D5A61">
      <w:r>
        <w:rPr>
          <w:noProof/>
        </w:rPr>
        <w:drawing>
          <wp:inline distT="0" distB="0" distL="0" distR="0" wp14:anchorId="19757DC6" wp14:editId="4B66DE95">
            <wp:extent cx="5934075" cy="463867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4075" cy="4638675"/>
                    </a:xfrm>
                    <a:prstGeom prst="rect">
                      <a:avLst/>
                    </a:prstGeom>
                    <a:noFill/>
                    <a:ln>
                      <a:noFill/>
                    </a:ln>
                  </pic:spPr>
                </pic:pic>
              </a:graphicData>
            </a:graphic>
          </wp:inline>
        </w:drawing>
      </w:r>
      <w:r>
        <w:rPr>
          <w:sz w:val="18"/>
          <w:szCs w:val="18"/>
        </w:rPr>
        <w:t xml:space="preserve">Note: The employment figures for 2018 through to 2020 are actuals derived from </w:t>
      </w:r>
      <w:proofErr w:type="spellStart"/>
      <w:r w:rsidR="00981F9D">
        <w:rPr>
          <w:sz w:val="18"/>
          <w:szCs w:val="18"/>
        </w:rPr>
        <w:t>StatsNZ</w:t>
      </w:r>
      <w:r>
        <w:rPr>
          <w:sz w:val="18"/>
          <w:szCs w:val="18"/>
        </w:rPr>
        <w:t>’s</w:t>
      </w:r>
      <w:proofErr w:type="spellEnd"/>
      <w:r>
        <w:rPr>
          <w:sz w:val="18"/>
          <w:szCs w:val="18"/>
        </w:rPr>
        <w:t xml:space="preserve"> 2020 Business Directory.</w:t>
      </w:r>
    </w:p>
    <w:p w14:paraId="424E9069" w14:textId="7C71D953" w:rsidR="003D5A61" w:rsidRPr="002A35AE" w:rsidRDefault="003D5A61" w:rsidP="003D5A61">
      <w:pPr>
        <w:keepNext/>
        <w:ind w:left="1134" w:hanging="1134"/>
        <w:rPr>
          <w:b/>
        </w:rPr>
      </w:pPr>
      <w:r w:rsidRPr="0005252F">
        <w:rPr>
          <w:b/>
        </w:rPr>
        <w:lastRenderedPageBreak/>
        <w:t>Figure 14</w:t>
      </w:r>
      <w:r>
        <w:rPr>
          <w:b/>
        </w:rPr>
        <w:t xml:space="preserve"> Waikato District Value Added</w:t>
      </w:r>
      <w:r w:rsidR="00080132">
        <w:rPr>
          <w:b/>
        </w:rPr>
        <w:t xml:space="preserve"> under a High Growth Scenario</w:t>
      </w:r>
      <w:r>
        <w:rPr>
          <w:b/>
        </w:rPr>
        <w:t>, 2018 to 2068</w:t>
      </w:r>
    </w:p>
    <w:p w14:paraId="5B06F185" w14:textId="3329A136" w:rsidR="003D5A61" w:rsidRPr="00AC2702" w:rsidRDefault="003D5A61" w:rsidP="003D5A61">
      <w:r>
        <w:rPr>
          <w:noProof/>
        </w:rPr>
        <w:drawing>
          <wp:inline distT="0" distB="0" distL="0" distR="0" wp14:anchorId="4475E92C" wp14:editId="7A7F1E2A">
            <wp:extent cx="5934075" cy="463867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4075" cy="4638675"/>
                    </a:xfrm>
                    <a:prstGeom prst="rect">
                      <a:avLst/>
                    </a:prstGeom>
                    <a:noFill/>
                    <a:ln>
                      <a:noFill/>
                    </a:ln>
                  </pic:spPr>
                </pic:pic>
              </a:graphicData>
            </a:graphic>
          </wp:inline>
        </w:drawing>
      </w:r>
      <w:r>
        <w:rPr>
          <w:sz w:val="18"/>
          <w:szCs w:val="18"/>
        </w:rPr>
        <w:t xml:space="preserve">Note: The </w:t>
      </w:r>
      <w:proofErr w:type="gramStart"/>
      <w:r>
        <w:rPr>
          <w:sz w:val="18"/>
          <w:szCs w:val="18"/>
        </w:rPr>
        <w:t>value added</w:t>
      </w:r>
      <w:proofErr w:type="gramEnd"/>
      <w:r>
        <w:rPr>
          <w:sz w:val="18"/>
          <w:szCs w:val="18"/>
        </w:rPr>
        <w:t xml:space="preserve"> figures for 2018 to 2020 are estimates based on M</w:t>
      </w:r>
      <w:r w:rsidR="00FC6558">
        <w:rPr>
          <w:sz w:val="18"/>
          <w:szCs w:val="18"/>
        </w:rPr>
        <w:t>EResearch</w:t>
      </w:r>
      <w:r>
        <w:rPr>
          <w:sz w:val="18"/>
          <w:szCs w:val="18"/>
        </w:rPr>
        <w:t xml:space="preserve">’s multi-regional input-output table for the financial year ending March 2018 as derived from the latest available </w:t>
      </w:r>
      <w:r w:rsidR="00981F9D">
        <w:rPr>
          <w:sz w:val="18"/>
          <w:szCs w:val="18"/>
        </w:rPr>
        <w:t>StatsNZ</w:t>
      </w:r>
      <w:r>
        <w:rPr>
          <w:sz w:val="18"/>
          <w:szCs w:val="18"/>
        </w:rPr>
        <w:t xml:space="preserve"> Inter-Industry Study of the New Zealand economy.</w:t>
      </w:r>
    </w:p>
    <w:p w14:paraId="346C724E" w14:textId="77777777" w:rsidR="003D5A61" w:rsidRDefault="003D5A61" w:rsidP="003D5A61">
      <w:pPr>
        <w:pStyle w:val="Heading3"/>
      </w:pPr>
      <w:bookmarkStart w:id="21" w:name="_Toc70694894"/>
      <w:bookmarkStart w:id="22" w:name="_Toc403733077"/>
      <w:r w:rsidRPr="008A701B">
        <w:t>Taupō District</w:t>
      </w:r>
      <w:bookmarkEnd w:id="21"/>
    </w:p>
    <w:bookmarkEnd w:id="22"/>
    <w:p w14:paraId="3F69DEE5" w14:textId="038C10EB" w:rsidR="003D5A61" w:rsidRDefault="003D5A61" w:rsidP="003D5A61">
      <w:r w:rsidRPr="00A4552C">
        <w:t xml:space="preserve">Taupō District is the fourth largest in Waikato Region, in terms of economic activity, with a value added contribution of </w:t>
      </w:r>
      <w:r w:rsidRPr="00A4552C">
        <w:rPr>
          <w:noProof/>
        </w:rPr>
        <w:t>$</w:t>
      </w:r>
      <w:r w:rsidRPr="00A4552C">
        <w:rPr>
          <w:noProof/>
          <w:vertAlign w:val="subscript"/>
        </w:rPr>
        <w:t>2018</w:t>
      </w:r>
      <w:r w:rsidRPr="00A4552C">
        <w:t xml:space="preserve">1.86 billion </w:t>
      </w:r>
      <w:r w:rsidR="003F7DD5">
        <w:t xml:space="preserve">(excluding OODs) </w:t>
      </w:r>
      <w:r w:rsidRPr="00A4552C">
        <w:t>in 2018, and 18,938 associated workers or MECs.</w:t>
      </w:r>
      <w:r>
        <w:t xml:space="preserve"> </w:t>
      </w:r>
    </w:p>
    <w:p w14:paraId="5B98D8BF" w14:textId="77777777" w:rsidR="003D5A61" w:rsidRDefault="003D5A61" w:rsidP="003D5A61">
      <w:r>
        <w:t xml:space="preserve">The employment projections of each nineteen ANZSIC industries are presented in Figure 15. The figure shows that Taupō District’s workforce is relatively smaller to that of some other districts. This is shown with the district’s dominant industry, </w:t>
      </w:r>
      <w:r w:rsidRPr="00A4552C">
        <w:t>Accommodation and Food Services, with 2,617 MECs in 2018 (13.8%)</w:t>
      </w:r>
      <w:r>
        <w:t>.</w:t>
      </w:r>
      <w:r w:rsidRPr="00A4552C">
        <w:t xml:space="preserve"> </w:t>
      </w:r>
    </w:p>
    <w:p w14:paraId="11C00443" w14:textId="77777777" w:rsidR="003D5A61" w:rsidRDefault="003D5A61" w:rsidP="003D5A61">
      <w:r>
        <w:t xml:space="preserve">The projection also indicates that Taupō District is also a service centre, for more rural outlying districts.  These characteristics are illustrated by the dominance of service industries such </w:t>
      </w:r>
      <w:r w:rsidRPr="00B82029">
        <w:t>as Accommodation and Food Services. Furthermore, we observe that Taupō District economy is diversified, reflecting the importance of tourism.</w:t>
      </w:r>
    </w:p>
    <w:p w14:paraId="0E702EE6" w14:textId="77777777" w:rsidR="003D5A61" w:rsidRDefault="003D5A61" w:rsidP="003D5A61">
      <w:r w:rsidRPr="00B82029">
        <w:lastRenderedPageBreak/>
        <w:t xml:space="preserve">Retail Trade and Construction are ranked third and fourth in employment terms in 2018, with 2,185 and 1,902 MECs respectively in 2018. </w:t>
      </w:r>
      <w:r>
        <w:t>There are no industries that are declining in this period.</w:t>
      </w:r>
    </w:p>
    <w:p w14:paraId="00C3D5A5" w14:textId="77777777" w:rsidR="003D5A61" w:rsidRPr="00230C01" w:rsidRDefault="003D5A61" w:rsidP="003D5A61">
      <w:r>
        <w:t xml:space="preserve">Once again, economic activities within individual SA2s can be tracked. We extracted one SA2, Acacia Bay. See Figure 16 for the employment projections in this SA2. </w:t>
      </w:r>
    </w:p>
    <w:p w14:paraId="73E7D53C" w14:textId="430BA95A" w:rsidR="003D5A61" w:rsidRPr="002A35AE" w:rsidRDefault="003D5A61" w:rsidP="003D5A61">
      <w:pPr>
        <w:keepNext/>
        <w:ind w:left="1134" w:hanging="1134"/>
        <w:rPr>
          <w:b/>
        </w:rPr>
      </w:pPr>
      <w:r w:rsidRPr="00FC6F59">
        <w:rPr>
          <w:b/>
        </w:rPr>
        <w:t>Figure 15</w:t>
      </w:r>
      <w:r>
        <w:rPr>
          <w:b/>
        </w:rPr>
        <w:t xml:space="preserve"> Taupō District Employment</w:t>
      </w:r>
      <w:r w:rsidR="00080132">
        <w:rPr>
          <w:b/>
        </w:rPr>
        <w:t xml:space="preserve"> under a High Growth Scenario</w:t>
      </w:r>
      <w:r>
        <w:rPr>
          <w:b/>
        </w:rPr>
        <w:t>, 2018 to 2068</w:t>
      </w:r>
    </w:p>
    <w:p w14:paraId="1FEC44C7" w14:textId="1743B6DA" w:rsidR="003D5A61" w:rsidRPr="00CA06EC" w:rsidRDefault="003D5A61" w:rsidP="003D5A61">
      <w:r>
        <w:rPr>
          <w:noProof/>
        </w:rPr>
        <w:drawing>
          <wp:inline distT="0" distB="0" distL="0" distR="0" wp14:anchorId="79B521A6" wp14:editId="34D8C8D4">
            <wp:extent cx="5934075" cy="463867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4075" cy="4638675"/>
                    </a:xfrm>
                    <a:prstGeom prst="rect">
                      <a:avLst/>
                    </a:prstGeom>
                    <a:noFill/>
                    <a:ln>
                      <a:noFill/>
                    </a:ln>
                  </pic:spPr>
                </pic:pic>
              </a:graphicData>
            </a:graphic>
          </wp:inline>
        </w:drawing>
      </w:r>
      <w:r>
        <w:rPr>
          <w:sz w:val="18"/>
          <w:szCs w:val="18"/>
        </w:rPr>
        <w:t xml:space="preserve">Note: The employment figures for 2018 through to 2020 are actuals derived from </w:t>
      </w:r>
      <w:proofErr w:type="spellStart"/>
      <w:r w:rsidR="00981F9D">
        <w:rPr>
          <w:sz w:val="18"/>
          <w:szCs w:val="18"/>
        </w:rPr>
        <w:t>StatsNZ</w:t>
      </w:r>
      <w:r>
        <w:rPr>
          <w:sz w:val="18"/>
          <w:szCs w:val="18"/>
        </w:rPr>
        <w:t>’s</w:t>
      </w:r>
      <w:proofErr w:type="spellEnd"/>
      <w:r>
        <w:rPr>
          <w:sz w:val="18"/>
          <w:szCs w:val="18"/>
        </w:rPr>
        <w:t xml:space="preserve"> 2020 Business Directory.</w:t>
      </w:r>
    </w:p>
    <w:p w14:paraId="46174D8D" w14:textId="77777777" w:rsidR="003D5A61" w:rsidRDefault="003D5A61" w:rsidP="003D5A61">
      <w:r>
        <w:t>The value added projections of each nineteen ANZSIC industries are presented in Figure 17</w:t>
      </w:r>
      <w:r w:rsidRPr="001D5786">
        <w:t xml:space="preserve">. Agriculture, Forestry and Fishing is the largest in </w:t>
      </w:r>
      <w:r w:rsidRPr="00861BE2">
        <w:t xml:space="preserve">terms of contribution to the economy for Taupō District. Its contribution of </w:t>
      </w:r>
      <w:r w:rsidRPr="00861BE2">
        <w:rPr>
          <w:noProof/>
        </w:rPr>
        <w:t>$</w:t>
      </w:r>
      <w:r w:rsidRPr="00861BE2">
        <w:rPr>
          <w:noProof/>
          <w:vertAlign w:val="subscript"/>
        </w:rPr>
        <w:t>2018</w:t>
      </w:r>
      <w:r w:rsidRPr="00861BE2">
        <w:t>323 million in 2018, followed by Electricity, Gas, Water and Waste services (</w:t>
      </w:r>
      <w:r w:rsidRPr="00861BE2">
        <w:rPr>
          <w:noProof/>
        </w:rPr>
        <w:t>$</w:t>
      </w:r>
      <w:r w:rsidRPr="00861BE2">
        <w:rPr>
          <w:noProof/>
          <w:vertAlign w:val="subscript"/>
        </w:rPr>
        <w:t>2018</w:t>
      </w:r>
      <w:r w:rsidRPr="00861BE2">
        <w:t>256 million) and Rental, Hiring and Real Estate (</w:t>
      </w:r>
      <w:r w:rsidRPr="00861BE2">
        <w:rPr>
          <w:noProof/>
        </w:rPr>
        <w:t>$</w:t>
      </w:r>
      <w:r w:rsidRPr="00861BE2">
        <w:rPr>
          <w:noProof/>
          <w:vertAlign w:val="subscript"/>
        </w:rPr>
        <w:t>2018</w:t>
      </w:r>
      <w:r w:rsidRPr="00861BE2">
        <w:t xml:space="preserve">249 million). The three industries are all projected to grow to </w:t>
      </w:r>
      <w:r w:rsidRPr="00861BE2">
        <w:rPr>
          <w:noProof/>
        </w:rPr>
        <w:t>$</w:t>
      </w:r>
      <w:r w:rsidRPr="00861BE2">
        <w:rPr>
          <w:noProof/>
          <w:vertAlign w:val="subscript"/>
        </w:rPr>
        <w:t>2018</w:t>
      </w:r>
      <w:r w:rsidRPr="00861BE2">
        <w:t xml:space="preserve">510 million, </w:t>
      </w:r>
      <w:r w:rsidRPr="00861BE2">
        <w:rPr>
          <w:noProof/>
        </w:rPr>
        <w:t>$</w:t>
      </w:r>
      <w:r w:rsidRPr="00861BE2">
        <w:rPr>
          <w:noProof/>
          <w:vertAlign w:val="subscript"/>
        </w:rPr>
        <w:t>2018</w:t>
      </w:r>
      <w:r w:rsidRPr="00861BE2">
        <w:t xml:space="preserve">480 million, and </w:t>
      </w:r>
      <w:r w:rsidRPr="00861BE2">
        <w:rPr>
          <w:noProof/>
        </w:rPr>
        <w:t>$</w:t>
      </w:r>
      <w:r w:rsidRPr="00861BE2">
        <w:rPr>
          <w:noProof/>
          <w:vertAlign w:val="subscript"/>
        </w:rPr>
        <w:t>2018</w:t>
      </w:r>
      <w:r w:rsidRPr="00861BE2">
        <w:t>433 million, respectively.</w:t>
      </w:r>
      <w:r>
        <w:t xml:space="preserve"> </w:t>
      </w:r>
    </w:p>
    <w:p w14:paraId="0706EA1A" w14:textId="77777777" w:rsidR="003D5A61" w:rsidRDefault="003D5A61" w:rsidP="003D5A61"/>
    <w:p w14:paraId="2F4F8CB0" w14:textId="77777777" w:rsidR="003D5A61" w:rsidRDefault="003D5A61" w:rsidP="003D5A61"/>
    <w:p w14:paraId="19D4F9FB" w14:textId="77777777" w:rsidR="003D5A61" w:rsidRDefault="003D5A61" w:rsidP="003D5A61"/>
    <w:p w14:paraId="1C560945" w14:textId="45310C93" w:rsidR="003D5A61" w:rsidRDefault="003D5A61" w:rsidP="003D5A61">
      <w:pPr>
        <w:rPr>
          <w:noProof/>
        </w:rPr>
      </w:pPr>
      <w:r w:rsidRPr="00910DBC">
        <w:rPr>
          <w:b/>
        </w:rPr>
        <w:t>Figure 16</w:t>
      </w:r>
      <w:r>
        <w:rPr>
          <w:b/>
        </w:rPr>
        <w:t xml:space="preserve"> Acacia Bay SA2 Employment</w:t>
      </w:r>
      <w:r w:rsidR="00080132">
        <w:rPr>
          <w:b/>
        </w:rPr>
        <w:t xml:space="preserve"> under a High Growth Scenario</w:t>
      </w:r>
      <w:r>
        <w:rPr>
          <w:b/>
        </w:rPr>
        <w:t>, 2018 to 2068</w:t>
      </w:r>
    </w:p>
    <w:p w14:paraId="2BAE4BF2" w14:textId="6DC71384" w:rsidR="003D5A61" w:rsidRPr="00230C01" w:rsidRDefault="003D5A61" w:rsidP="003D5A61">
      <w:r>
        <w:rPr>
          <w:noProof/>
        </w:rPr>
        <w:lastRenderedPageBreak/>
        <w:drawing>
          <wp:inline distT="0" distB="0" distL="0" distR="0" wp14:anchorId="7B9D39AA" wp14:editId="59BA27FE">
            <wp:extent cx="5934075" cy="4638675"/>
            <wp:effectExtent l="0" t="0" r="9525"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4075" cy="4638675"/>
                    </a:xfrm>
                    <a:prstGeom prst="rect">
                      <a:avLst/>
                    </a:prstGeom>
                    <a:noFill/>
                    <a:ln>
                      <a:noFill/>
                    </a:ln>
                  </pic:spPr>
                </pic:pic>
              </a:graphicData>
            </a:graphic>
          </wp:inline>
        </w:drawing>
      </w:r>
      <w:r>
        <w:rPr>
          <w:sz w:val="18"/>
          <w:szCs w:val="18"/>
        </w:rPr>
        <w:t xml:space="preserve">Note: The employment figures for 2018 through to 2020 are actuals derived from </w:t>
      </w:r>
      <w:proofErr w:type="spellStart"/>
      <w:r w:rsidR="00981F9D">
        <w:rPr>
          <w:sz w:val="18"/>
          <w:szCs w:val="18"/>
        </w:rPr>
        <w:t>StatsNZ</w:t>
      </w:r>
      <w:r>
        <w:rPr>
          <w:sz w:val="18"/>
          <w:szCs w:val="18"/>
        </w:rPr>
        <w:t>’s</w:t>
      </w:r>
      <w:proofErr w:type="spellEnd"/>
      <w:r>
        <w:rPr>
          <w:sz w:val="18"/>
          <w:szCs w:val="18"/>
        </w:rPr>
        <w:t xml:space="preserve"> 2020 Business Directory.</w:t>
      </w:r>
    </w:p>
    <w:p w14:paraId="58A45F60" w14:textId="72480E7A" w:rsidR="003D5A61" w:rsidRPr="002A35AE" w:rsidRDefault="003D5A61" w:rsidP="003D5A61">
      <w:pPr>
        <w:keepNext/>
        <w:rPr>
          <w:b/>
        </w:rPr>
      </w:pPr>
      <w:r w:rsidRPr="00910DBC">
        <w:rPr>
          <w:b/>
        </w:rPr>
        <w:lastRenderedPageBreak/>
        <w:t>Figure 17</w:t>
      </w:r>
      <w:r>
        <w:rPr>
          <w:b/>
        </w:rPr>
        <w:t xml:space="preserve"> Taupō Value Added</w:t>
      </w:r>
      <w:r w:rsidR="00080132">
        <w:rPr>
          <w:b/>
        </w:rPr>
        <w:t xml:space="preserve"> under a High Growth Scenario</w:t>
      </w:r>
      <w:r>
        <w:rPr>
          <w:b/>
        </w:rPr>
        <w:t>, 2018 to 2068</w:t>
      </w:r>
    </w:p>
    <w:p w14:paraId="34EBC542" w14:textId="294C0161" w:rsidR="003D5A61" w:rsidRPr="00F67323" w:rsidRDefault="003D5A61" w:rsidP="003D5A61">
      <w:r>
        <w:rPr>
          <w:noProof/>
        </w:rPr>
        <w:drawing>
          <wp:inline distT="0" distB="0" distL="0" distR="0" wp14:anchorId="559D1137" wp14:editId="05AA51F0">
            <wp:extent cx="5934075" cy="46386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34075" cy="4638675"/>
                    </a:xfrm>
                    <a:prstGeom prst="rect">
                      <a:avLst/>
                    </a:prstGeom>
                    <a:noFill/>
                    <a:ln>
                      <a:noFill/>
                    </a:ln>
                  </pic:spPr>
                </pic:pic>
              </a:graphicData>
            </a:graphic>
          </wp:inline>
        </w:drawing>
      </w:r>
      <w:r>
        <w:rPr>
          <w:sz w:val="18"/>
          <w:szCs w:val="18"/>
        </w:rPr>
        <w:t xml:space="preserve">Note: The </w:t>
      </w:r>
      <w:proofErr w:type="gramStart"/>
      <w:r>
        <w:rPr>
          <w:sz w:val="18"/>
          <w:szCs w:val="18"/>
        </w:rPr>
        <w:t>value added</w:t>
      </w:r>
      <w:proofErr w:type="gramEnd"/>
      <w:r>
        <w:rPr>
          <w:sz w:val="18"/>
          <w:szCs w:val="18"/>
        </w:rPr>
        <w:t xml:space="preserve"> figures for 2018 to 2020 are estimates based on M</w:t>
      </w:r>
      <w:r w:rsidR="00FC6558">
        <w:rPr>
          <w:sz w:val="18"/>
          <w:szCs w:val="18"/>
        </w:rPr>
        <w:t>EResearch</w:t>
      </w:r>
      <w:r>
        <w:rPr>
          <w:sz w:val="18"/>
          <w:szCs w:val="18"/>
        </w:rPr>
        <w:t xml:space="preserve">’s multi-regional input-output table for the financial year ending March 2018 as derived from the latest available </w:t>
      </w:r>
      <w:r w:rsidR="00981F9D">
        <w:rPr>
          <w:sz w:val="18"/>
          <w:szCs w:val="18"/>
        </w:rPr>
        <w:t>StatsNZ</w:t>
      </w:r>
      <w:r>
        <w:rPr>
          <w:sz w:val="18"/>
          <w:szCs w:val="18"/>
        </w:rPr>
        <w:t xml:space="preserve"> Inter-Industry Study of the New Zealand economy.</w:t>
      </w:r>
    </w:p>
    <w:p w14:paraId="53FB5795" w14:textId="77777777" w:rsidR="003D5A61" w:rsidRDefault="003D5A61" w:rsidP="003D5A61">
      <w:pPr>
        <w:pStyle w:val="Heading3"/>
      </w:pPr>
      <w:bookmarkStart w:id="23" w:name="_Toc70694895"/>
      <w:bookmarkStart w:id="24" w:name="_Toc403733078"/>
      <w:r w:rsidRPr="008A701B">
        <w:t>Matamata-Piako District</w:t>
      </w:r>
      <w:bookmarkEnd w:id="23"/>
    </w:p>
    <w:bookmarkEnd w:id="24"/>
    <w:p w14:paraId="6C5BCA77" w14:textId="77777777" w:rsidR="003D5A61" w:rsidRDefault="003D5A61" w:rsidP="003D5A61">
      <w:r>
        <w:t xml:space="preserve">Matamata-Piako District is one of the districts in Waikato Region of which the economy is not dominated by Agriculture, Forestry and Fishing. Manufacturing is the dominant industry in the district and </w:t>
      </w:r>
      <w:r w:rsidRPr="00762EBB">
        <w:t>is projected to remain the largest industry in employment, above Agriculture, Forestry and Fishing</w:t>
      </w:r>
      <w:r>
        <w:t xml:space="preserve"> in the 50-year period. </w:t>
      </w:r>
    </w:p>
    <w:p w14:paraId="1873212F" w14:textId="77777777" w:rsidR="003D5A61" w:rsidRPr="00762EBB" w:rsidRDefault="003D5A61" w:rsidP="003D5A61">
      <w:r>
        <w:t xml:space="preserve">The employment projections of each nineteen ANZSIC industries are presented in Figure 18. It should also be noted that a considerable amount </w:t>
      </w:r>
      <w:r w:rsidRPr="00762EBB">
        <w:t>of manufacturing within Waikato Region is linked to agricultural production directly, in the form of meat, dairy and food processing</w:t>
      </w:r>
      <w:r>
        <w:t xml:space="preserve">. In 2018, there </w:t>
      </w:r>
      <w:r w:rsidRPr="00762EBB">
        <w:t>were 4,030 MECs in Manufacturing and 3,473 MECs in Agriculture, Forestry and Fishing, out of the district’s total of 17,889 employees. These two industries employ just under half (41.9%) of Matamata-Piako’s employees.</w:t>
      </w:r>
    </w:p>
    <w:p w14:paraId="13CCB58F" w14:textId="5A6925C5" w:rsidR="003D5A61" w:rsidRDefault="003D5A61" w:rsidP="003D5A61">
      <w:r w:rsidRPr="00762EBB">
        <w:lastRenderedPageBreak/>
        <w:t xml:space="preserve">Construction is the third largest, in terms of numbers employed, with 1,574 MECs in 2018. This industry is projected to increase to 2,332 MECs in 2068. Retail Trade was the fourth largest employer in 2018. It had 1,567 MECs in 2018 and is projected to </w:t>
      </w:r>
      <w:r w:rsidR="00694745">
        <w:t>increase</w:t>
      </w:r>
      <w:r w:rsidRPr="00762EBB">
        <w:t xml:space="preserve"> to 1,857 by 2068.</w:t>
      </w:r>
    </w:p>
    <w:p w14:paraId="2F5DEC3E" w14:textId="56BA07BC" w:rsidR="003D5A61" w:rsidRPr="002A35AE" w:rsidRDefault="003D5A61" w:rsidP="003D5A61">
      <w:pPr>
        <w:keepNext/>
        <w:rPr>
          <w:b/>
        </w:rPr>
      </w:pPr>
      <w:r w:rsidRPr="00910DBC">
        <w:rPr>
          <w:b/>
        </w:rPr>
        <w:t>Figure 18</w:t>
      </w:r>
      <w:r>
        <w:rPr>
          <w:b/>
        </w:rPr>
        <w:t xml:space="preserve"> Matamata-Piako District Employment</w:t>
      </w:r>
      <w:r w:rsidR="00080132">
        <w:rPr>
          <w:b/>
        </w:rPr>
        <w:t xml:space="preserve"> under a High Growth Scenario</w:t>
      </w:r>
      <w:r>
        <w:rPr>
          <w:b/>
        </w:rPr>
        <w:t>, 2018 to 2068</w:t>
      </w:r>
    </w:p>
    <w:p w14:paraId="413CD054" w14:textId="2982219B" w:rsidR="003D5A61" w:rsidRPr="00FF386C" w:rsidRDefault="003D5A61" w:rsidP="003D5A61">
      <w:r>
        <w:rPr>
          <w:noProof/>
        </w:rPr>
        <w:drawing>
          <wp:inline distT="0" distB="0" distL="0" distR="0" wp14:anchorId="72160753" wp14:editId="5224029F">
            <wp:extent cx="5934075" cy="463867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34075" cy="4638675"/>
                    </a:xfrm>
                    <a:prstGeom prst="rect">
                      <a:avLst/>
                    </a:prstGeom>
                    <a:noFill/>
                    <a:ln>
                      <a:noFill/>
                    </a:ln>
                  </pic:spPr>
                </pic:pic>
              </a:graphicData>
            </a:graphic>
          </wp:inline>
        </w:drawing>
      </w:r>
      <w:r>
        <w:rPr>
          <w:sz w:val="18"/>
          <w:szCs w:val="18"/>
        </w:rPr>
        <w:t xml:space="preserve">Note: The employment figures for 2018 through to 2020 are actuals derived from </w:t>
      </w:r>
      <w:proofErr w:type="spellStart"/>
      <w:r w:rsidR="00981F9D">
        <w:rPr>
          <w:sz w:val="18"/>
          <w:szCs w:val="18"/>
        </w:rPr>
        <w:t>StatsNZ</w:t>
      </w:r>
      <w:r>
        <w:rPr>
          <w:sz w:val="18"/>
          <w:szCs w:val="18"/>
        </w:rPr>
        <w:t>’s</w:t>
      </w:r>
      <w:proofErr w:type="spellEnd"/>
      <w:r>
        <w:rPr>
          <w:sz w:val="18"/>
          <w:szCs w:val="18"/>
        </w:rPr>
        <w:t xml:space="preserve"> 2020 Business Directory.</w:t>
      </w:r>
    </w:p>
    <w:p w14:paraId="5510FD22" w14:textId="6DCE6137" w:rsidR="003D5A61" w:rsidRDefault="003D5A61" w:rsidP="003D5A61">
      <w:r>
        <w:t xml:space="preserve">The value added projections of each nineteen ANZSIC industries are presented in Figure 19. The contribution of Manufacturing to the value added of the district is on an upward trend. </w:t>
      </w:r>
      <w:r w:rsidRPr="00CD3A79">
        <w:t xml:space="preserve">Manufacturing contributed </w:t>
      </w:r>
      <w:r w:rsidRPr="00CD3A79">
        <w:rPr>
          <w:noProof/>
        </w:rPr>
        <w:t>$</w:t>
      </w:r>
      <w:r w:rsidRPr="00CD3A79">
        <w:rPr>
          <w:noProof/>
          <w:vertAlign w:val="subscript"/>
        </w:rPr>
        <w:t>2018</w:t>
      </w:r>
      <w:r w:rsidRPr="00CD3A79">
        <w:t>506 million to the economy in 2018 (29.0% of the district’s total value added</w:t>
      </w:r>
      <w:r w:rsidR="00425EB2">
        <w:t xml:space="preserve"> excluding OODs) </w:t>
      </w:r>
      <w:r w:rsidRPr="00CD3A79">
        <w:t xml:space="preserve">and is projected to increase to </w:t>
      </w:r>
      <w:r w:rsidRPr="00CD3A79">
        <w:rPr>
          <w:noProof/>
        </w:rPr>
        <w:t>$</w:t>
      </w:r>
      <w:r w:rsidRPr="00CD3A79">
        <w:rPr>
          <w:noProof/>
          <w:vertAlign w:val="subscript"/>
        </w:rPr>
        <w:t>2018</w:t>
      </w:r>
      <w:r w:rsidRPr="00CD3A79">
        <w:t>894 million in 2068</w:t>
      </w:r>
      <w:r>
        <w:t xml:space="preserve">. The Agriculture, Forestry and Fishing </w:t>
      </w:r>
      <w:r w:rsidRPr="00CD3A79">
        <w:t xml:space="preserve">contribution to the district’s value added was </w:t>
      </w:r>
      <w:r w:rsidRPr="00CD3A79">
        <w:rPr>
          <w:noProof/>
        </w:rPr>
        <w:t>$</w:t>
      </w:r>
      <w:r w:rsidRPr="00CD3A79">
        <w:rPr>
          <w:noProof/>
          <w:vertAlign w:val="subscript"/>
        </w:rPr>
        <w:t>2018</w:t>
      </w:r>
      <w:r w:rsidRPr="00CD3A79">
        <w:t xml:space="preserve">384 million in 2018, and this is projected to increase by an additional 48.9% by 2068, to </w:t>
      </w:r>
      <w:r w:rsidRPr="00CD3A79">
        <w:rPr>
          <w:noProof/>
        </w:rPr>
        <w:t>$</w:t>
      </w:r>
      <w:r w:rsidRPr="00CD3A79">
        <w:rPr>
          <w:noProof/>
          <w:vertAlign w:val="subscript"/>
        </w:rPr>
        <w:t>2018</w:t>
      </w:r>
      <w:r w:rsidRPr="00CD3A79">
        <w:t xml:space="preserve">572 million. The other major industry that shows significant relative growth above other industries is Mining, projected to increase from </w:t>
      </w:r>
      <w:r w:rsidRPr="00CD3A79">
        <w:rPr>
          <w:noProof/>
        </w:rPr>
        <w:t>$</w:t>
      </w:r>
      <w:r w:rsidRPr="00CD3A79">
        <w:rPr>
          <w:noProof/>
          <w:vertAlign w:val="subscript"/>
        </w:rPr>
        <w:t>2018</w:t>
      </w:r>
      <w:r w:rsidRPr="00CD3A79">
        <w:t xml:space="preserve">29.7 million to </w:t>
      </w:r>
      <w:r w:rsidRPr="00CD3A79">
        <w:rPr>
          <w:noProof/>
        </w:rPr>
        <w:t>$</w:t>
      </w:r>
      <w:r w:rsidRPr="00CD3A79">
        <w:rPr>
          <w:noProof/>
          <w:vertAlign w:val="subscript"/>
        </w:rPr>
        <w:t>2018</w:t>
      </w:r>
      <w:r w:rsidRPr="00CD3A79">
        <w:t>126 million.</w:t>
      </w:r>
    </w:p>
    <w:p w14:paraId="07CBDA4C" w14:textId="77777777" w:rsidR="003D5A61" w:rsidRDefault="003D5A61" w:rsidP="003D5A61"/>
    <w:p w14:paraId="32823A07" w14:textId="77777777" w:rsidR="003D5A61" w:rsidRDefault="003D5A61" w:rsidP="003D5A61"/>
    <w:p w14:paraId="48F8DCA9" w14:textId="77777777" w:rsidR="003D5A61" w:rsidRDefault="003D5A61" w:rsidP="003D5A61"/>
    <w:p w14:paraId="4A08E046" w14:textId="0BBBA215" w:rsidR="003D5A61" w:rsidRPr="002A35AE" w:rsidRDefault="003D5A61" w:rsidP="003D5A61">
      <w:pPr>
        <w:keepNext/>
        <w:rPr>
          <w:b/>
        </w:rPr>
      </w:pPr>
      <w:r>
        <w:rPr>
          <w:b/>
        </w:rPr>
        <w:lastRenderedPageBreak/>
        <w:t>Figure 19 Matamata-Piako Value Added</w:t>
      </w:r>
      <w:r w:rsidR="00080132">
        <w:rPr>
          <w:b/>
        </w:rPr>
        <w:t xml:space="preserve"> under a High Growth Scenario</w:t>
      </w:r>
      <w:r>
        <w:rPr>
          <w:b/>
        </w:rPr>
        <w:t>, 2018 to 2068</w:t>
      </w:r>
    </w:p>
    <w:p w14:paraId="5190BA7D" w14:textId="43008D30" w:rsidR="003D5A61" w:rsidRPr="00600B3C" w:rsidRDefault="003D5A61" w:rsidP="003D5A61">
      <w:r>
        <w:rPr>
          <w:noProof/>
        </w:rPr>
        <w:drawing>
          <wp:inline distT="0" distB="0" distL="0" distR="0" wp14:anchorId="4A85772F" wp14:editId="7D3A35B7">
            <wp:extent cx="5934075" cy="463867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4075" cy="4638675"/>
                    </a:xfrm>
                    <a:prstGeom prst="rect">
                      <a:avLst/>
                    </a:prstGeom>
                    <a:noFill/>
                    <a:ln>
                      <a:noFill/>
                    </a:ln>
                  </pic:spPr>
                </pic:pic>
              </a:graphicData>
            </a:graphic>
          </wp:inline>
        </w:drawing>
      </w:r>
      <w:r>
        <w:rPr>
          <w:sz w:val="18"/>
          <w:szCs w:val="18"/>
        </w:rPr>
        <w:t xml:space="preserve">Note: The </w:t>
      </w:r>
      <w:proofErr w:type="gramStart"/>
      <w:r>
        <w:rPr>
          <w:sz w:val="18"/>
          <w:szCs w:val="18"/>
        </w:rPr>
        <w:t>value added</w:t>
      </w:r>
      <w:proofErr w:type="gramEnd"/>
      <w:r>
        <w:rPr>
          <w:sz w:val="18"/>
          <w:szCs w:val="18"/>
        </w:rPr>
        <w:t xml:space="preserve"> figures for 2018 to 2020 are estimates based on </w:t>
      </w:r>
      <w:r w:rsidR="00997634">
        <w:rPr>
          <w:sz w:val="18"/>
          <w:szCs w:val="18"/>
        </w:rPr>
        <w:t>MEResearch’s</w:t>
      </w:r>
      <w:r>
        <w:rPr>
          <w:sz w:val="18"/>
          <w:szCs w:val="18"/>
        </w:rPr>
        <w:t xml:space="preserve"> multi-regional input-output table for the financial year ending March 2018 as derived from the latest available </w:t>
      </w:r>
      <w:r w:rsidR="00981F9D">
        <w:rPr>
          <w:sz w:val="18"/>
          <w:szCs w:val="18"/>
        </w:rPr>
        <w:t>StatsNZ</w:t>
      </w:r>
      <w:r>
        <w:rPr>
          <w:sz w:val="18"/>
          <w:szCs w:val="18"/>
        </w:rPr>
        <w:t xml:space="preserve"> Inter-Industry Study of the New Zealand economy.</w:t>
      </w:r>
    </w:p>
    <w:p w14:paraId="384F3E2E" w14:textId="77777777" w:rsidR="003D5A61" w:rsidRDefault="003D5A61" w:rsidP="003D5A61">
      <w:pPr>
        <w:pStyle w:val="Heading3"/>
      </w:pPr>
      <w:bookmarkStart w:id="25" w:name="_Toc70694896"/>
      <w:bookmarkStart w:id="26" w:name="_Toc403733079"/>
      <w:r w:rsidRPr="008A701B">
        <w:t>Thames</w:t>
      </w:r>
      <w:r>
        <w:t>-</w:t>
      </w:r>
      <w:r w:rsidRPr="008A701B">
        <w:t>Coromandel District</w:t>
      </w:r>
      <w:bookmarkEnd w:id="25"/>
    </w:p>
    <w:bookmarkEnd w:id="26"/>
    <w:p w14:paraId="53112C59" w14:textId="77777777" w:rsidR="003D5A61" w:rsidRDefault="003D5A61" w:rsidP="003D5A61">
      <w:pPr>
        <w:rPr>
          <w:highlight w:val="yellow"/>
        </w:rPr>
      </w:pPr>
      <w:r>
        <w:t xml:space="preserve">Thames-Coromandel District has </w:t>
      </w:r>
      <w:r w:rsidRPr="008E5DEA">
        <w:t xml:space="preserve">a diversified industry structure, with four industries employing over 1,000 MECs in 2018. </w:t>
      </w:r>
    </w:p>
    <w:p w14:paraId="54DF30AA" w14:textId="77777777" w:rsidR="003D5A61" w:rsidRDefault="003D5A61" w:rsidP="003D5A61">
      <w:r>
        <w:t>The employment projections of each nineteen ANZSIC industries are presented in Figure 20</w:t>
      </w:r>
      <w:r w:rsidRPr="008E5DEA">
        <w:t>. Retail trade is the largest employer in the TA with 1,857 MECs and is projected to grow to 2,494 MECs in</w:t>
      </w:r>
      <w:r>
        <w:t xml:space="preserve"> 2068. The second largest industry in 2018, </w:t>
      </w:r>
      <w:r w:rsidRPr="008E5DEA">
        <w:t>Accommodation and Food Services, is also projected to grow from 1,846 MECs to 2,500 MECs by 2068.</w:t>
      </w:r>
      <w:r>
        <w:t xml:space="preserve"> Electricity, Gas, Water and Waste Services is projected to grow the most relatively with 176% growth rate in the 50-year period, from 120 MECs to 332 MECs.</w:t>
      </w:r>
    </w:p>
    <w:p w14:paraId="115ADDE6" w14:textId="77777777" w:rsidR="003D5A61" w:rsidRDefault="003D5A61" w:rsidP="003D5A61"/>
    <w:p w14:paraId="65FF88DC" w14:textId="77777777" w:rsidR="003D5A61" w:rsidRDefault="003D5A61" w:rsidP="003D5A61"/>
    <w:p w14:paraId="173244A1" w14:textId="77777777" w:rsidR="003D5A61" w:rsidRDefault="003D5A61" w:rsidP="003D5A61"/>
    <w:p w14:paraId="7E47D81F" w14:textId="5475C907" w:rsidR="003D5A61" w:rsidRPr="005D775D" w:rsidRDefault="003D5A61" w:rsidP="003D5A61">
      <w:pPr>
        <w:keepNext/>
        <w:rPr>
          <w:b/>
        </w:rPr>
      </w:pPr>
      <w:r w:rsidRPr="00BF689B">
        <w:rPr>
          <w:b/>
        </w:rPr>
        <w:lastRenderedPageBreak/>
        <w:t>Figure 20</w:t>
      </w:r>
      <w:r>
        <w:rPr>
          <w:b/>
        </w:rPr>
        <w:t xml:space="preserve"> Thames-Coromandel District Employment</w:t>
      </w:r>
      <w:r w:rsidR="00080132">
        <w:rPr>
          <w:b/>
        </w:rPr>
        <w:t xml:space="preserve"> under a High Growth Scenario</w:t>
      </w:r>
      <w:r>
        <w:rPr>
          <w:b/>
        </w:rPr>
        <w:t>, 2018 to 2068</w:t>
      </w:r>
    </w:p>
    <w:p w14:paraId="253B21F6" w14:textId="1F4370FE" w:rsidR="003D5A61" w:rsidRPr="00083F09" w:rsidRDefault="003D5A61" w:rsidP="003D5A61">
      <w:r>
        <w:rPr>
          <w:noProof/>
        </w:rPr>
        <w:drawing>
          <wp:inline distT="0" distB="0" distL="0" distR="0" wp14:anchorId="3D2BA00C" wp14:editId="4DA7BBDC">
            <wp:extent cx="5934075" cy="4638675"/>
            <wp:effectExtent l="0" t="0" r="9525"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4075" cy="4638675"/>
                    </a:xfrm>
                    <a:prstGeom prst="rect">
                      <a:avLst/>
                    </a:prstGeom>
                    <a:noFill/>
                    <a:ln>
                      <a:noFill/>
                    </a:ln>
                  </pic:spPr>
                </pic:pic>
              </a:graphicData>
            </a:graphic>
          </wp:inline>
        </w:drawing>
      </w:r>
      <w:r>
        <w:rPr>
          <w:sz w:val="18"/>
          <w:szCs w:val="18"/>
        </w:rPr>
        <w:t xml:space="preserve">Note: The employment figures for 2018 through to 2020 are actuals derived from </w:t>
      </w:r>
      <w:proofErr w:type="spellStart"/>
      <w:r w:rsidR="00981F9D">
        <w:rPr>
          <w:sz w:val="18"/>
          <w:szCs w:val="18"/>
        </w:rPr>
        <w:t>StatsNZ</w:t>
      </w:r>
      <w:r>
        <w:rPr>
          <w:sz w:val="18"/>
          <w:szCs w:val="18"/>
        </w:rPr>
        <w:t>’s</w:t>
      </w:r>
      <w:proofErr w:type="spellEnd"/>
      <w:r>
        <w:rPr>
          <w:sz w:val="18"/>
          <w:szCs w:val="18"/>
        </w:rPr>
        <w:t xml:space="preserve"> 2020 Business Directory.</w:t>
      </w:r>
    </w:p>
    <w:p w14:paraId="6892A837" w14:textId="77777777" w:rsidR="003D5A61" w:rsidRDefault="003D5A61" w:rsidP="003D5A61">
      <w:r>
        <w:t xml:space="preserve">The value added projections of each nineteen ANZSIC industries are presented in Figure 21. Although </w:t>
      </w:r>
      <w:r w:rsidRPr="00586ADF">
        <w:t xml:space="preserve">Rental, Hiring and Real Estate Services is not the greatest employer, it contributes the greatest dollar amount to Thames-Coromandel District’s economy with </w:t>
      </w:r>
      <w:r w:rsidRPr="00586ADF">
        <w:rPr>
          <w:noProof/>
        </w:rPr>
        <w:t>$</w:t>
      </w:r>
      <w:r w:rsidRPr="00EF644F">
        <w:rPr>
          <w:noProof/>
          <w:vertAlign w:val="subscript"/>
        </w:rPr>
        <w:t>2018</w:t>
      </w:r>
      <w:r w:rsidRPr="00EF644F">
        <w:t>126 million in 2018. This trend is projected to remain consistent for the most of the 50-year period. Similarly, Construction, although third in terms of employment in 2018, is second in terms of contribution to value added (</w:t>
      </w:r>
      <w:r w:rsidRPr="00EF644F">
        <w:rPr>
          <w:noProof/>
        </w:rPr>
        <w:t>$</w:t>
      </w:r>
      <w:r w:rsidRPr="00EF644F">
        <w:rPr>
          <w:noProof/>
          <w:vertAlign w:val="subscript"/>
        </w:rPr>
        <w:t>2018</w:t>
      </w:r>
      <w:r w:rsidRPr="00EF644F">
        <w:t>114 million in 2018), reflecting difference in labour intensities of production across sectors.</w:t>
      </w:r>
      <w:r>
        <w:t xml:space="preserve"> </w:t>
      </w:r>
    </w:p>
    <w:p w14:paraId="5D4C3B9E" w14:textId="77777777" w:rsidR="003D5A61" w:rsidRDefault="003D5A61" w:rsidP="003D5A61"/>
    <w:p w14:paraId="5097FCFB" w14:textId="77777777" w:rsidR="003D5A61" w:rsidRDefault="003D5A61" w:rsidP="003D5A61"/>
    <w:p w14:paraId="71D10831" w14:textId="77777777" w:rsidR="003D5A61" w:rsidRDefault="003D5A61" w:rsidP="003D5A61"/>
    <w:p w14:paraId="7B3425ED" w14:textId="77777777" w:rsidR="003D5A61" w:rsidRDefault="003D5A61" w:rsidP="003D5A61"/>
    <w:p w14:paraId="4F9286D1" w14:textId="6A9DB6AC" w:rsidR="003D5A61" w:rsidRPr="002A35AE" w:rsidRDefault="003D5A61" w:rsidP="003D5A61">
      <w:pPr>
        <w:keepNext/>
        <w:rPr>
          <w:b/>
        </w:rPr>
      </w:pPr>
      <w:r w:rsidRPr="00BF689B">
        <w:rPr>
          <w:b/>
        </w:rPr>
        <w:lastRenderedPageBreak/>
        <w:t>Figure 21</w:t>
      </w:r>
      <w:r>
        <w:rPr>
          <w:b/>
        </w:rPr>
        <w:t xml:space="preserve"> Thames-Coromandel District Value Added</w:t>
      </w:r>
      <w:r w:rsidR="00080132">
        <w:rPr>
          <w:b/>
        </w:rPr>
        <w:t xml:space="preserve"> under a high Growth Scenario</w:t>
      </w:r>
      <w:r>
        <w:rPr>
          <w:b/>
        </w:rPr>
        <w:t>, 2018 to 2068</w:t>
      </w:r>
    </w:p>
    <w:p w14:paraId="434AEC33" w14:textId="5392E126" w:rsidR="003D5A61" w:rsidRPr="00243D9D" w:rsidRDefault="003D5A61" w:rsidP="003D5A61">
      <w:r>
        <w:rPr>
          <w:noProof/>
        </w:rPr>
        <w:drawing>
          <wp:inline distT="0" distB="0" distL="0" distR="0" wp14:anchorId="36DEB60C" wp14:editId="18FABD02">
            <wp:extent cx="5934075" cy="463867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4075" cy="4638675"/>
                    </a:xfrm>
                    <a:prstGeom prst="rect">
                      <a:avLst/>
                    </a:prstGeom>
                    <a:noFill/>
                    <a:ln>
                      <a:noFill/>
                    </a:ln>
                  </pic:spPr>
                </pic:pic>
              </a:graphicData>
            </a:graphic>
          </wp:inline>
        </w:drawing>
      </w:r>
      <w:r>
        <w:rPr>
          <w:sz w:val="18"/>
          <w:szCs w:val="18"/>
        </w:rPr>
        <w:t xml:space="preserve">Note: The </w:t>
      </w:r>
      <w:proofErr w:type="gramStart"/>
      <w:r>
        <w:rPr>
          <w:sz w:val="18"/>
          <w:szCs w:val="18"/>
        </w:rPr>
        <w:t>value added</w:t>
      </w:r>
      <w:proofErr w:type="gramEnd"/>
      <w:r>
        <w:rPr>
          <w:sz w:val="18"/>
          <w:szCs w:val="18"/>
        </w:rPr>
        <w:t xml:space="preserve"> figures for 2018 to 2020 are estimates based on </w:t>
      </w:r>
      <w:r w:rsidR="00997634">
        <w:rPr>
          <w:sz w:val="18"/>
          <w:szCs w:val="18"/>
        </w:rPr>
        <w:t>MEResearch</w:t>
      </w:r>
      <w:r>
        <w:rPr>
          <w:sz w:val="18"/>
          <w:szCs w:val="18"/>
        </w:rPr>
        <w:t xml:space="preserve">’s multi-regional input-output table for the financial year ending March 2018 as derived from the latest available </w:t>
      </w:r>
      <w:r w:rsidR="00981F9D">
        <w:rPr>
          <w:sz w:val="18"/>
          <w:szCs w:val="18"/>
        </w:rPr>
        <w:t>StatsNZ</w:t>
      </w:r>
      <w:r>
        <w:rPr>
          <w:sz w:val="18"/>
          <w:szCs w:val="18"/>
        </w:rPr>
        <w:t xml:space="preserve"> Inter-Industry Study of the New Zealand economy.</w:t>
      </w:r>
    </w:p>
    <w:p w14:paraId="2C543D11" w14:textId="77777777" w:rsidR="003D5A61" w:rsidRDefault="003D5A61" w:rsidP="003D5A61">
      <w:pPr>
        <w:pStyle w:val="Heading3"/>
      </w:pPr>
      <w:bookmarkStart w:id="27" w:name="_Toc70694897"/>
      <w:bookmarkStart w:id="28" w:name="_Toc403733080"/>
      <w:r w:rsidRPr="008A701B">
        <w:t>South Waikato District</w:t>
      </w:r>
      <w:bookmarkEnd w:id="27"/>
    </w:p>
    <w:bookmarkEnd w:id="28"/>
    <w:p w14:paraId="36B7752A" w14:textId="77777777" w:rsidR="003D5A61" w:rsidRDefault="003D5A61" w:rsidP="003D5A61">
      <w:r>
        <w:t xml:space="preserve">South Waikato District has </w:t>
      </w:r>
      <w:r w:rsidRPr="00C712E5">
        <w:t>approximately 4% of Waikato</w:t>
      </w:r>
      <w:r>
        <w:t xml:space="preserve"> Region’s workforce in 2018. </w:t>
      </w:r>
    </w:p>
    <w:p w14:paraId="3716AABE" w14:textId="77777777" w:rsidR="003D5A61" w:rsidRDefault="003D5A61" w:rsidP="003D5A61">
      <w:r>
        <w:t xml:space="preserve">The employment projections of each nineteen ANZSIC industries are presented in Figure 22. Being a rural </w:t>
      </w:r>
      <w:r w:rsidRPr="00C712E5">
        <w:t>district, Agriculture, Forestry and Fishing dominates the economy in terms of employment, alongside Manufacturing. In 2018, there were 2,220 MECs employed in Agriculture, Forestry and Fishing. This</w:t>
      </w:r>
      <w:r>
        <w:t xml:space="preserve"> is projected to </w:t>
      </w:r>
      <w:r w:rsidRPr="00C712E5">
        <w:t xml:space="preserve">increase to 2,311 by 2068. Manufacturing is projected </w:t>
      </w:r>
      <w:r w:rsidRPr="00C0517B">
        <w:t>to increase from 2,096 MECS in 2018 to 2,736 MECs by 2068, overtaking Agriculture, Forestry and Fishing. Education and Training was the third largest in terms of employment in 2018, with 914 MECs, followed closely by Retail Trade with 809 MECs. Education and Training is projected to increase to 1,592 MECs by 2068 and Retail Trade increases by 7.17% from 968 MECs. Electricity, Gas, Water and Waste Services exhibits the most substantial relative growth, increasing by 213% from 56 MECs to 175 MECs.</w:t>
      </w:r>
    </w:p>
    <w:p w14:paraId="7BA116BB" w14:textId="77777777" w:rsidR="003D5A61" w:rsidRDefault="003D5A61" w:rsidP="003D5A61"/>
    <w:p w14:paraId="6DF210B9" w14:textId="3F7010FE" w:rsidR="003D5A61" w:rsidRPr="005D775D" w:rsidRDefault="003D5A61" w:rsidP="003D5A61">
      <w:pPr>
        <w:keepNext/>
        <w:rPr>
          <w:b/>
        </w:rPr>
      </w:pPr>
      <w:r w:rsidRPr="00BF689B">
        <w:rPr>
          <w:b/>
        </w:rPr>
        <w:lastRenderedPageBreak/>
        <w:t>Figure 22</w:t>
      </w:r>
      <w:r>
        <w:rPr>
          <w:b/>
        </w:rPr>
        <w:t xml:space="preserve"> South Waikato District Employment</w:t>
      </w:r>
      <w:r w:rsidR="00080132">
        <w:rPr>
          <w:b/>
        </w:rPr>
        <w:t xml:space="preserve"> under a High Growth Scenario</w:t>
      </w:r>
      <w:r>
        <w:rPr>
          <w:b/>
        </w:rPr>
        <w:t>, 2018 to 2068</w:t>
      </w:r>
    </w:p>
    <w:p w14:paraId="7A786EBB" w14:textId="70CBD60A" w:rsidR="003D5A61" w:rsidRPr="00854DBE" w:rsidRDefault="003D5A61" w:rsidP="003D5A61">
      <w:r>
        <w:rPr>
          <w:noProof/>
        </w:rPr>
        <w:drawing>
          <wp:inline distT="0" distB="0" distL="0" distR="0" wp14:anchorId="6631B69D" wp14:editId="1C378A6A">
            <wp:extent cx="5934075" cy="463867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34075" cy="4638675"/>
                    </a:xfrm>
                    <a:prstGeom prst="rect">
                      <a:avLst/>
                    </a:prstGeom>
                    <a:noFill/>
                    <a:ln>
                      <a:noFill/>
                    </a:ln>
                  </pic:spPr>
                </pic:pic>
              </a:graphicData>
            </a:graphic>
          </wp:inline>
        </w:drawing>
      </w:r>
      <w:r>
        <w:rPr>
          <w:sz w:val="18"/>
          <w:szCs w:val="18"/>
        </w:rPr>
        <w:t xml:space="preserve">Note: The employment figures for 2018 through to 2020 are actuals derived from </w:t>
      </w:r>
      <w:proofErr w:type="spellStart"/>
      <w:r w:rsidR="00981F9D">
        <w:rPr>
          <w:sz w:val="18"/>
          <w:szCs w:val="18"/>
        </w:rPr>
        <w:t>StatsNZ</w:t>
      </w:r>
      <w:r>
        <w:rPr>
          <w:sz w:val="18"/>
          <w:szCs w:val="18"/>
        </w:rPr>
        <w:t>’s</w:t>
      </w:r>
      <w:proofErr w:type="spellEnd"/>
      <w:r>
        <w:rPr>
          <w:sz w:val="18"/>
          <w:szCs w:val="18"/>
        </w:rPr>
        <w:t xml:space="preserve"> 2020 Business Directory.</w:t>
      </w:r>
    </w:p>
    <w:p w14:paraId="793D00EE" w14:textId="02AAA50A" w:rsidR="003D5A61" w:rsidRDefault="003D5A61" w:rsidP="003D5A61">
      <w:r>
        <w:t xml:space="preserve">The value added projections of each nineteen ANZSIC industries are presented in Figure 23. Unsurprisingly, </w:t>
      </w:r>
      <w:r w:rsidRPr="00882F78">
        <w:t xml:space="preserve">Agriculture, Forestry and Fishing contributes the most to South Waikato District in terms of value added. This trend is </w:t>
      </w:r>
      <w:r>
        <w:t>consistent in the 50-year period, with b</w:t>
      </w:r>
      <w:r w:rsidRPr="00882F78">
        <w:t xml:space="preserve">oth Manufacturing and Agriculture, Forestry and Fishing projected to increase their value added contributions. Agriculture, Forestry and Fishing contributed </w:t>
      </w:r>
      <w:r w:rsidRPr="00882F78">
        <w:rPr>
          <w:noProof/>
        </w:rPr>
        <w:t>$</w:t>
      </w:r>
      <w:r w:rsidRPr="00882F78">
        <w:rPr>
          <w:noProof/>
          <w:vertAlign w:val="subscript"/>
        </w:rPr>
        <w:t>2018</w:t>
      </w:r>
      <w:r w:rsidRPr="00882F78">
        <w:t xml:space="preserve">323 million to the district economy in 2018, with Manufacturing contributing </w:t>
      </w:r>
      <w:r w:rsidRPr="00882F78">
        <w:rPr>
          <w:noProof/>
        </w:rPr>
        <w:t>$</w:t>
      </w:r>
      <w:r w:rsidRPr="00882F78">
        <w:rPr>
          <w:noProof/>
          <w:vertAlign w:val="subscript"/>
        </w:rPr>
        <w:t>2018</w:t>
      </w:r>
      <w:r w:rsidRPr="00882F78">
        <w:t xml:space="preserve">273 million. These values are projected to increase to </w:t>
      </w:r>
      <w:r w:rsidRPr="00882F78">
        <w:rPr>
          <w:noProof/>
        </w:rPr>
        <w:t>$</w:t>
      </w:r>
      <w:r w:rsidRPr="00882F78">
        <w:rPr>
          <w:noProof/>
          <w:vertAlign w:val="subscript"/>
        </w:rPr>
        <w:t>2018</w:t>
      </w:r>
      <w:r w:rsidRPr="00290F32">
        <w:t xml:space="preserve">484 million and </w:t>
      </w:r>
      <w:r w:rsidRPr="00290F32">
        <w:rPr>
          <w:noProof/>
        </w:rPr>
        <w:t>$</w:t>
      </w:r>
      <w:r w:rsidRPr="00290F32">
        <w:rPr>
          <w:noProof/>
          <w:vertAlign w:val="subscript"/>
        </w:rPr>
        <w:t>2018</w:t>
      </w:r>
      <w:r w:rsidRPr="00290F32">
        <w:t xml:space="preserve">388 million, respectively by 2068 reflecting increase in productivity over time. These two industries together contribute to 58.1% of the region’s value added </w:t>
      </w:r>
      <w:r w:rsidR="00A90A59">
        <w:t xml:space="preserve">(excluding OODs) </w:t>
      </w:r>
      <w:r w:rsidRPr="00290F32">
        <w:t>in 2018. The value added contribution of Financial and Insurance Services value added is projected have the highest relative growth in this period.</w:t>
      </w:r>
      <w:r>
        <w:t xml:space="preserve"> </w:t>
      </w:r>
    </w:p>
    <w:p w14:paraId="34599430" w14:textId="77777777" w:rsidR="003D5A61" w:rsidRDefault="003D5A61" w:rsidP="003D5A61"/>
    <w:p w14:paraId="6B96B44D" w14:textId="77777777" w:rsidR="003D5A61" w:rsidRDefault="003D5A61" w:rsidP="003D5A61"/>
    <w:p w14:paraId="0F8FD707" w14:textId="77777777" w:rsidR="003D5A61" w:rsidRDefault="003D5A61" w:rsidP="003D5A61"/>
    <w:p w14:paraId="1C38CE22" w14:textId="77777777" w:rsidR="003D5A61" w:rsidRDefault="003D5A61" w:rsidP="003D5A61"/>
    <w:p w14:paraId="62970F9B" w14:textId="0B411D9E" w:rsidR="003D5A61" w:rsidRPr="002A35AE" w:rsidRDefault="003D5A61" w:rsidP="003D5A61">
      <w:pPr>
        <w:keepNext/>
        <w:rPr>
          <w:b/>
        </w:rPr>
      </w:pPr>
      <w:r w:rsidRPr="00AE5EBE">
        <w:rPr>
          <w:b/>
        </w:rPr>
        <w:lastRenderedPageBreak/>
        <w:t>Figure 23</w:t>
      </w:r>
      <w:r>
        <w:rPr>
          <w:b/>
        </w:rPr>
        <w:t xml:space="preserve"> South Waikato District Value Added</w:t>
      </w:r>
      <w:r w:rsidR="00080132">
        <w:rPr>
          <w:b/>
        </w:rPr>
        <w:t xml:space="preserve"> under a High Growth Scenario</w:t>
      </w:r>
      <w:r>
        <w:rPr>
          <w:b/>
        </w:rPr>
        <w:t>, 2018 to 2068</w:t>
      </w:r>
    </w:p>
    <w:p w14:paraId="583E87D2" w14:textId="25211CD3" w:rsidR="003D5A61" w:rsidRPr="00124CEE" w:rsidRDefault="003D5A61" w:rsidP="003D5A61">
      <w:r>
        <w:rPr>
          <w:noProof/>
        </w:rPr>
        <w:drawing>
          <wp:inline distT="0" distB="0" distL="0" distR="0" wp14:anchorId="19C5D522" wp14:editId="558E3DE9">
            <wp:extent cx="5934075" cy="463867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34075" cy="4638675"/>
                    </a:xfrm>
                    <a:prstGeom prst="rect">
                      <a:avLst/>
                    </a:prstGeom>
                    <a:noFill/>
                    <a:ln>
                      <a:noFill/>
                    </a:ln>
                  </pic:spPr>
                </pic:pic>
              </a:graphicData>
            </a:graphic>
          </wp:inline>
        </w:drawing>
      </w:r>
      <w:r>
        <w:rPr>
          <w:sz w:val="18"/>
          <w:szCs w:val="18"/>
        </w:rPr>
        <w:t xml:space="preserve">Note: The </w:t>
      </w:r>
      <w:proofErr w:type="gramStart"/>
      <w:r>
        <w:rPr>
          <w:sz w:val="18"/>
          <w:szCs w:val="18"/>
        </w:rPr>
        <w:t>value added</w:t>
      </w:r>
      <w:proofErr w:type="gramEnd"/>
      <w:r>
        <w:rPr>
          <w:sz w:val="18"/>
          <w:szCs w:val="18"/>
        </w:rPr>
        <w:t xml:space="preserve"> figures for 2018 to 2020 are estimates based on </w:t>
      </w:r>
      <w:r w:rsidR="0007727B">
        <w:rPr>
          <w:sz w:val="18"/>
          <w:szCs w:val="18"/>
        </w:rPr>
        <w:t>MEResearch’s</w:t>
      </w:r>
      <w:r>
        <w:rPr>
          <w:sz w:val="18"/>
          <w:szCs w:val="18"/>
        </w:rPr>
        <w:t xml:space="preserve"> multi-regional input-output table for the financial year ending March 2018 as derived from the latest available </w:t>
      </w:r>
      <w:r w:rsidR="00981F9D">
        <w:rPr>
          <w:sz w:val="18"/>
          <w:szCs w:val="18"/>
        </w:rPr>
        <w:t>StatsNZ</w:t>
      </w:r>
      <w:r>
        <w:rPr>
          <w:sz w:val="18"/>
          <w:szCs w:val="18"/>
        </w:rPr>
        <w:t xml:space="preserve"> Inter-Industry Study of the New Zealand economy.</w:t>
      </w:r>
    </w:p>
    <w:p w14:paraId="71ED6D4F" w14:textId="77777777" w:rsidR="003D5A61" w:rsidRDefault="003D5A61" w:rsidP="003D5A61">
      <w:pPr>
        <w:pStyle w:val="Heading3"/>
      </w:pPr>
      <w:bookmarkStart w:id="29" w:name="_Toc70694898"/>
      <w:bookmarkStart w:id="30" w:name="_Toc403733081"/>
      <w:r>
        <w:t>Hauraki</w:t>
      </w:r>
      <w:r w:rsidRPr="008A701B">
        <w:t xml:space="preserve"> District</w:t>
      </w:r>
      <w:bookmarkEnd w:id="29"/>
    </w:p>
    <w:bookmarkEnd w:id="30"/>
    <w:p w14:paraId="3C8770BA" w14:textId="064B66E7" w:rsidR="003D5A61" w:rsidRDefault="003D5A61" w:rsidP="003D5A61">
      <w:r>
        <w:t xml:space="preserve">The employment projections of each nineteen ANZSIC industries are presented in Figure 24. Hauraki District is currently heavily dependent </w:t>
      </w:r>
      <w:r w:rsidRPr="00B733EE">
        <w:t xml:space="preserve">on Agriculture, Forestry and Fishing, with 1,477 MECs in 2018, or just over one in five people employed in Agriculture, Forestry and Fishing. Agriculture, Forestry and Fishing is projected to remain the dominant employer </w:t>
      </w:r>
      <w:r w:rsidRPr="00BB07D4">
        <w:t>by 2068 (Figure 24). Construction is the second largest industry in 2018 with 779 MECs and is projected to increase to 1,092 MECs by 2068. However, Construction does not remain the second largest in 2068 as Education and Training grows from 620 MECs to 1,314 MECs to be the second largest in 2068.</w:t>
      </w:r>
    </w:p>
    <w:p w14:paraId="32FC6151" w14:textId="72B34D4B" w:rsidR="003D5A61" w:rsidRPr="002A35AE" w:rsidRDefault="003D5A61" w:rsidP="003D5A61">
      <w:pPr>
        <w:keepNext/>
        <w:rPr>
          <w:b/>
        </w:rPr>
      </w:pPr>
      <w:r w:rsidRPr="00EE706B">
        <w:rPr>
          <w:b/>
        </w:rPr>
        <w:lastRenderedPageBreak/>
        <w:t>Figure 24</w:t>
      </w:r>
      <w:r>
        <w:rPr>
          <w:b/>
        </w:rPr>
        <w:t xml:space="preserve"> Hauraki District Employment</w:t>
      </w:r>
      <w:r w:rsidR="00080132">
        <w:rPr>
          <w:b/>
        </w:rPr>
        <w:t xml:space="preserve"> under a High Growth Scenario</w:t>
      </w:r>
      <w:r>
        <w:rPr>
          <w:b/>
        </w:rPr>
        <w:t>, 2018 to 2068</w:t>
      </w:r>
    </w:p>
    <w:p w14:paraId="172E40C9" w14:textId="66C98451" w:rsidR="003D5A61" w:rsidRPr="001E4DF3" w:rsidRDefault="003D5A61" w:rsidP="003D5A61">
      <w:r>
        <w:rPr>
          <w:noProof/>
        </w:rPr>
        <w:drawing>
          <wp:inline distT="0" distB="0" distL="0" distR="0" wp14:anchorId="4CE9F533" wp14:editId="46709266">
            <wp:extent cx="5934075" cy="463867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34075" cy="4638675"/>
                    </a:xfrm>
                    <a:prstGeom prst="rect">
                      <a:avLst/>
                    </a:prstGeom>
                    <a:noFill/>
                    <a:ln>
                      <a:noFill/>
                    </a:ln>
                  </pic:spPr>
                </pic:pic>
              </a:graphicData>
            </a:graphic>
          </wp:inline>
        </w:drawing>
      </w:r>
      <w:r>
        <w:rPr>
          <w:sz w:val="18"/>
          <w:szCs w:val="18"/>
        </w:rPr>
        <w:t xml:space="preserve">Note: The employment figures for 2018 through to 2020 are actuals derived from </w:t>
      </w:r>
      <w:proofErr w:type="spellStart"/>
      <w:r w:rsidR="00981F9D">
        <w:rPr>
          <w:sz w:val="18"/>
          <w:szCs w:val="18"/>
        </w:rPr>
        <w:t>StatsNZ</w:t>
      </w:r>
      <w:r>
        <w:rPr>
          <w:sz w:val="18"/>
          <w:szCs w:val="18"/>
        </w:rPr>
        <w:t>’s</w:t>
      </w:r>
      <w:proofErr w:type="spellEnd"/>
      <w:r>
        <w:rPr>
          <w:sz w:val="18"/>
          <w:szCs w:val="18"/>
        </w:rPr>
        <w:t xml:space="preserve"> 2020 Business Directory.</w:t>
      </w:r>
    </w:p>
    <w:p w14:paraId="6478291F" w14:textId="15B74F6D" w:rsidR="003D5A61" w:rsidRDefault="003D5A61" w:rsidP="003D5A61">
      <w:r>
        <w:t xml:space="preserve">The value added projections of each nineteen ANZSIC industries are presented in Figure 25. In terms of value added contribution to the economy, </w:t>
      </w:r>
      <w:r w:rsidRPr="00BB07D4">
        <w:t xml:space="preserve">the Agriculture, Forestry and Fishing is the largest, with </w:t>
      </w:r>
      <w:r w:rsidRPr="00BB07D4">
        <w:rPr>
          <w:noProof/>
        </w:rPr>
        <w:t>$</w:t>
      </w:r>
      <w:r w:rsidRPr="00BB07D4">
        <w:rPr>
          <w:noProof/>
          <w:vertAlign w:val="subscript"/>
        </w:rPr>
        <w:t>2018</w:t>
      </w:r>
      <w:r w:rsidRPr="00BB07D4">
        <w:t xml:space="preserve">161 million in 2018, projected to increase to </w:t>
      </w:r>
      <w:r w:rsidRPr="00BB07D4">
        <w:rPr>
          <w:noProof/>
        </w:rPr>
        <w:t>$</w:t>
      </w:r>
      <w:r w:rsidRPr="00BB07D4">
        <w:rPr>
          <w:noProof/>
          <w:vertAlign w:val="subscript"/>
        </w:rPr>
        <w:t>2018</w:t>
      </w:r>
      <w:r w:rsidRPr="00BB07D4">
        <w:t>227 million by</w:t>
      </w:r>
      <w:r>
        <w:t xml:space="preserve"> 2068. The second largest contributor in value added terms </w:t>
      </w:r>
      <w:r w:rsidRPr="00BB07D4">
        <w:t xml:space="preserve">is Mining with </w:t>
      </w:r>
      <w:r w:rsidRPr="00BB07D4">
        <w:rPr>
          <w:noProof/>
        </w:rPr>
        <w:t>$</w:t>
      </w:r>
      <w:r w:rsidRPr="00BB07D4">
        <w:rPr>
          <w:noProof/>
          <w:vertAlign w:val="subscript"/>
        </w:rPr>
        <w:t>2018</w:t>
      </w:r>
      <w:r w:rsidRPr="00BB07D4">
        <w:t xml:space="preserve">70.4 million in 2018. By 2068, though, the second largest industry is Manufacturing growing from </w:t>
      </w:r>
      <w:r w:rsidRPr="00BB07D4">
        <w:rPr>
          <w:noProof/>
        </w:rPr>
        <w:t>$</w:t>
      </w:r>
      <w:r w:rsidRPr="00BB07D4">
        <w:rPr>
          <w:noProof/>
          <w:vertAlign w:val="subscript"/>
        </w:rPr>
        <w:t>2018</w:t>
      </w:r>
      <w:r w:rsidRPr="00BB07D4">
        <w:t xml:space="preserve">64.5 million to </w:t>
      </w:r>
      <w:r w:rsidRPr="00BB07D4">
        <w:rPr>
          <w:noProof/>
        </w:rPr>
        <w:t>$</w:t>
      </w:r>
      <w:r w:rsidRPr="00BB07D4">
        <w:rPr>
          <w:noProof/>
          <w:vertAlign w:val="subscript"/>
        </w:rPr>
        <w:t>2018</w:t>
      </w:r>
      <w:r w:rsidRPr="00BB07D4">
        <w:t>146 million in the 50-year period.</w:t>
      </w:r>
    </w:p>
    <w:p w14:paraId="70CE7CC0" w14:textId="77777777" w:rsidR="003D5A61" w:rsidRDefault="003D5A61" w:rsidP="003D5A61"/>
    <w:p w14:paraId="3C94C092" w14:textId="77777777" w:rsidR="003D5A61" w:rsidRDefault="003D5A61" w:rsidP="003D5A61"/>
    <w:p w14:paraId="31AC6D64" w14:textId="77777777" w:rsidR="003D5A61" w:rsidRDefault="003D5A61" w:rsidP="003D5A61"/>
    <w:p w14:paraId="3EED72B0" w14:textId="77777777" w:rsidR="003D5A61" w:rsidRDefault="003D5A61" w:rsidP="003D5A61"/>
    <w:p w14:paraId="3655B037" w14:textId="77777777" w:rsidR="003D5A61" w:rsidRDefault="003D5A61" w:rsidP="003D5A61"/>
    <w:p w14:paraId="10560580" w14:textId="77777777" w:rsidR="003D5A61" w:rsidRDefault="003D5A61" w:rsidP="003D5A61"/>
    <w:p w14:paraId="4F1DB8F8" w14:textId="568F85E3" w:rsidR="003D5A61" w:rsidRDefault="003D5A61" w:rsidP="003D5A61">
      <w:pPr>
        <w:keepNext/>
      </w:pPr>
      <w:r w:rsidRPr="00BD1E01">
        <w:rPr>
          <w:b/>
        </w:rPr>
        <w:lastRenderedPageBreak/>
        <w:t>Figure 25</w:t>
      </w:r>
      <w:r>
        <w:rPr>
          <w:b/>
        </w:rPr>
        <w:t xml:space="preserve"> Hauraki District Value Added</w:t>
      </w:r>
      <w:r w:rsidR="00080132">
        <w:rPr>
          <w:b/>
        </w:rPr>
        <w:t xml:space="preserve"> under a High Growth Scenario</w:t>
      </w:r>
      <w:r>
        <w:rPr>
          <w:b/>
        </w:rPr>
        <w:t>, 2018 to 2068</w:t>
      </w:r>
    </w:p>
    <w:p w14:paraId="424DE825" w14:textId="5A010FC6" w:rsidR="003D5A61" w:rsidRPr="00AF17D8" w:rsidRDefault="003D5A61" w:rsidP="003D5A61">
      <w:r>
        <w:rPr>
          <w:noProof/>
        </w:rPr>
        <w:drawing>
          <wp:inline distT="0" distB="0" distL="0" distR="0" wp14:anchorId="67AD29F8" wp14:editId="793003E7">
            <wp:extent cx="5934075" cy="463867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34075" cy="4638675"/>
                    </a:xfrm>
                    <a:prstGeom prst="rect">
                      <a:avLst/>
                    </a:prstGeom>
                    <a:noFill/>
                    <a:ln>
                      <a:noFill/>
                    </a:ln>
                  </pic:spPr>
                </pic:pic>
              </a:graphicData>
            </a:graphic>
          </wp:inline>
        </w:drawing>
      </w:r>
      <w:r>
        <w:rPr>
          <w:sz w:val="18"/>
          <w:szCs w:val="18"/>
        </w:rPr>
        <w:t xml:space="preserve">Note: The </w:t>
      </w:r>
      <w:proofErr w:type="gramStart"/>
      <w:r>
        <w:rPr>
          <w:sz w:val="18"/>
          <w:szCs w:val="18"/>
        </w:rPr>
        <w:t>value added</w:t>
      </w:r>
      <w:proofErr w:type="gramEnd"/>
      <w:r>
        <w:rPr>
          <w:sz w:val="18"/>
          <w:szCs w:val="18"/>
        </w:rPr>
        <w:t xml:space="preserve"> figures for 2018 to 2020 are estimates based on </w:t>
      </w:r>
      <w:r w:rsidR="0007727B">
        <w:rPr>
          <w:sz w:val="18"/>
          <w:szCs w:val="18"/>
        </w:rPr>
        <w:t>MEResearch</w:t>
      </w:r>
      <w:r>
        <w:rPr>
          <w:sz w:val="18"/>
          <w:szCs w:val="18"/>
        </w:rPr>
        <w:t xml:space="preserve">’s multi-regional input-output table for the financial year ending March 2018 as derived from the latest available </w:t>
      </w:r>
      <w:r w:rsidR="00981F9D">
        <w:rPr>
          <w:sz w:val="18"/>
          <w:szCs w:val="18"/>
        </w:rPr>
        <w:t>StatsNZ</w:t>
      </w:r>
      <w:r>
        <w:rPr>
          <w:sz w:val="18"/>
          <w:szCs w:val="18"/>
        </w:rPr>
        <w:t xml:space="preserve"> Inter-Industry Study of the New Zealand economy.</w:t>
      </w:r>
    </w:p>
    <w:p w14:paraId="41CFBC6B" w14:textId="77777777" w:rsidR="003D5A61" w:rsidRDefault="003D5A61" w:rsidP="003D5A61">
      <w:pPr>
        <w:pStyle w:val="Heading3"/>
      </w:pPr>
      <w:bookmarkStart w:id="31" w:name="_Toc70694899"/>
      <w:bookmarkStart w:id="32" w:name="_Toc403733082"/>
      <w:r>
        <w:t>Waitomo</w:t>
      </w:r>
      <w:r w:rsidRPr="008A701B">
        <w:t xml:space="preserve"> District</w:t>
      </w:r>
      <w:bookmarkEnd w:id="31"/>
    </w:p>
    <w:bookmarkEnd w:id="32"/>
    <w:p w14:paraId="597C1AB4" w14:textId="77777777" w:rsidR="003D5A61" w:rsidRDefault="003D5A61" w:rsidP="003D5A61">
      <w:r>
        <w:t xml:space="preserve">Waitomo District is one of the districts of which the economy is dominated by Agriculture, Forestry and Fishing. </w:t>
      </w:r>
    </w:p>
    <w:p w14:paraId="09195053" w14:textId="346ED6ED" w:rsidR="003D5A61" w:rsidRDefault="003D5A61" w:rsidP="003D5A61">
      <w:r>
        <w:t xml:space="preserve">The employment projections of each nineteen ANZSIC industries are presented in </w:t>
      </w:r>
      <w:r w:rsidRPr="000F46D1">
        <w:t>Figure 26. Agriculture, Forestry and Fishing is the dominant industry in Waitomo District, followed by Manufacturing. 1,387 people were employed in Agriculture, Forestry and Fishing in 2018, and is projected to increase to 1,773 MECs by 2068. Manufacturing had 863 MECs in 2018 and is also projected to increase to 1004 MECs. Construction is the third largest in 2018, in terms of employment, with 422 MECs in 2018 increasing to 566 MECs.</w:t>
      </w:r>
    </w:p>
    <w:p w14:paraId="2B2B26F8" w14:textId="77777777" w:rsidR="003D5A61" w:rsidRDefault="003D5A61" w:rsidP="003D5A61"/>
    <w:p w14:paraId="3182AF04" w14:textId="77777777" w:rsidR="003D5A61" w:rsidRDefault="003D5A61" w:rsidP="003D5A61"/>
    <w:p w14:paraId="7D810BC2" w14:textId="77777777" w:rsidR="003D5A61" w:rsidRDefault="003D5A61" w:rsidP="003D5A61"/>
    <w:p w14:paraId="5AAD137A" w14:textId="6BF1D43C" w:rsidR="003D5A61" w:rsidRPr="00360F7C" w:rsidRDefault="003D5A61" w:rsidP="003D5A61">
      <w:pPr>
        <w:keepNext/>
        <w:rPr>
          <w:b/>
        </w:rPr>
      </w:pPr>
      <w:r>
        <w:rPr>
          <w:b/>
        </w:rPr>
        <w:lastRenderedPageBreak/>
        <w:t>Figure 26 Waitomo District Employment</w:t>
      </w:r>
      <w:r w:rsidR="00080132">
        <w:rPr>
          <w:b/>
        </w:rPr>
        <w:t xml:space="preserve"> under a High Growth Scenario</w:t>
      </w:r>
      <w:r>
        <w:rPr>
          <w:b/>
        </w:rPr>
        <w:t>, 2018 to 2068</w:t>
      </w:r>
    </w:p>
    <w:p w14:paraId="3CD10EDB" w14:textId="76C11524" w:rsidR="003D5A61" w:rsidRPr="007C04E0" w:rsidRDefault="003D5A61" w:rsidP="003D5A61">
      <w:r>
        <w:rPr>
          <w:noProof/>
        </w:rPr>
        <w:drawing>
          <wp:inline distT="0" distB="0" distL="0" distR="0" wp14:anchorId="4212BBF0" wp14:editId="63C0CC50">
            <wp:extent cx="5934075" cy="463867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34075" cy="4638675"/>
                    </a:xfrm>
                    <a:prstGeom prst="rect">
                      <a:avLst/>
                    </a:prstGeom>
                    <a:noFill/>
                    <a:ln>
                      <a:noFill/>
                    </a:ln>
                  </pic:spPr>
                </pic:pic>
              </a:graphicData>
            </a:graphic>
          </wp:inline>
        </w:drawing>
      </w:r>
      <w:r>
        <w:rPr>
          <w:sz w:val="18"/>
          <w:szCs w:val="18"/>
        </w:rPr>
        <w:t xml:space="preserve">Note: The employment figures for 2018 through to 2020 are actuals derived from </w:t>
      </w:r>
      <w:proofErr w:type="spellStart"/>
      <w:r w:rsidR="00981F9D">
        <w:rPr>
          <w:sz w:val="18"/>
          <w:szCs w:val="18"/>
        </w:rPr>
        <w:t>StatsNZ</w:t>
      </w:r>
      <w:r>
        <w:rPr>
          <w:sz w:val="18"/>
          <w:szCs w:val="18"/>
        </w:rPr>
        <w:t>’s</w:t>
      </w:r>
      <w:proofErr w:type="spellEnd"/>
      <w:r>
        <w:rPr>
          <w:sz w:val="18"/>
          <w:szCs w:val="18"/>
        </w:rPr>
        <w:t xml:space="preserve"> 2020 Business Directory.</w:t>
      </w:r>
    </w:p>
    <w:p w14:paraId="3B33B1BD" w14:textId="1B381C3D" w:rsidR="003D5A61" w:rsidRDefault="003D5A61" w:rsidP="003D5A61">
      <w:r w:rsidRPr="0082781F">
        <w:t>As an example of projected employment changes at SA2 level within Waitomo District, we extracted Herangi. The employment projections are presented in Figure 27. This is a SA2 particularly dependent on Agriculture, Forestry and Fishing.</w:t>
      </w:r>
    </w:p>
    <w:p w14:paraId="493672C1" w14:textId="77777777" w:rsidR="003D5A61" w:rsidRDefault="003D5A61" w:rsidP="003D5A61"/>
    <w:p w14:paraId="48DD40D0" w14:textId="77777777" w:rsidR="003D5A61" w:rsidRDefault="003D5A61" w:rsidP="003D5A61"/>
    <w:p w14:paraId="6B0C3836" w14:textId="77777777" w:rsidR="003D5A61" w:rsidRDefault="003D5A61" w:rsidP="003D5A61"/>
    <w:p w14:paraId="4ED568DA" w14:textId="77777777" w:rsidR="003D5A61" w:rsidRDefault="003D5A61" w:rsidP="003D5A61"/>
    <w:p w14:paraId="6C244923" w14:textId="77777777" w:rsidR="003D5A61" w:rsidRDefault="003D5A61" w:rsidP="003D5A61"/>
    <w:p w14:paraId="4716AAAB" w14:textId="77777777" w:rsidR="003D5A61" w:rsidRDefault="003D5A61" w:rsidP="003D5A61"/>
    <w:p w14:paraId="4B9E2BC6" w14:textId="77777777" w:rsidR="003D5A61" w:rsidRDefault="003D5A61" w:rsidP="003D5A61"/>
    <w:p w14:paraId="0E0239FA" w14:textId="2A8CB39A" w:rsidR="003D5A61" w:rsidRPr="005D775D" w:rsidRDefault="003D5A61" w:rsidP="003D5A61">
      <w:pPr>
        <w:keepNext/>
        <w:rPr>
          <w:b/>
        </w:rPr>
      </w:pPr>
      <w:r>
        <w:rPr>
          <w:b/>
        </w:rPr>
        <w:lastRenderedPageBreak/>
        <w:t>Figure 27 Herangi District Employment</w:t>
      </w:r>
      <w:r w:rsidR="00080132">
        <w:rPr>
          <w:b/>
        </w:rPr>
        <w:t xml:space="preserve"> under a High Growth Scenario</w:t>
      </w:r>
      <w:r>
        <w:rPr>
          <w:b/>
        </w:rPr>
        <w:t>, 2018 to 2068</w:t>
      </w:r>
    </w:p>
    <w:p w14:paraId="0676E6A5" w14:textId="7A07CA37" w:rsidR="003D5A61" w:rsidRPr="00651180" w:rsidRDefault="003D5A61" w:rsidP="003D5A61">
      <w:r>
        <w:rPr>
          <w:noProof/>
        </w:rPr>
        <w:drawing>
          <wp:inline distT="0" distB="0" distL="0" distR="0" wp14:anchorId="766B0901" wp14:editId="03455371">
            <wp:extent cx="5934075" cy="4638675"/>
            <wp:effectExtent l="0" t="0" r="9525"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34075" cy="4638675"/>
                    </a:xfrm>
                    <a:prstGeom prst="rect">
                      <a:avLst/>
                    </a:prstGeom>
                    <a:noFill/>
                    <a:ln>
                      <a:noFill/>
                    </a:ln>
                  </pic:spPr>
                </pic:pic>
              </a:graphicData>
            </a:graphic>
          </wp:inline>
        </w:drawing>
      </w:r>
      <w:r>
        <w:rPr>
          <w:sz w:val="18"/>
          <w:szCs w:val="18"/>
        </w:rPr>
        <w:t xml:space="preserve">Note: The employment figures for 2018 through to 2020 are actuals derived from </w:t>
      </w:r>
      <w:proofErr w:type="spellStart"/>
      <w:r w:rsidR="00981F9D">
        <w:rPr>
          <w:sz w:val="18"/>
          <w:szCs w:val="18"/>
        </w:rPr>
        <w:t>StatsNZ</w:t>
      </w:r>
      <w:r>
        <w:rPr>
          <w:sz w:val="18"/>
          <w:szCs w:val="18"/>
        </w:rPr>
        <w:t>’s</w:t>
      </w:r>
      <w:proofErr w:type="spellEnd"/>
      <w:r>
        <w:rPr>
          <w:sz w:val="18"/>
          <w:szCs w:val="18"/>
        </w:rPr>
        <w:t xml:space="preserve"> 2020 Business Directory.</w:t>
      </w:r>
    </w:p>
    <w:p w14:paraId="1A7AEB9C" w14:textId="4EBAB0AA" w:rsidR="003D5A61" w:rsidRDefault="003D5A61" w:rsidP="003D5A61">
      <w:r>
        <w:t>The value added projections of each nineteen ANZSIC industries are presented in Figure 28. Total value add</w:t>
      </w:r>
      <w:r w:rsidRPr="00DE66A0">
        <w:t xml:space="preserve">ed for Waitomo District was </w:t>
      </w:r>
      <w:r w:rsidRPr="00DE66A0">
        <w:rPr>
          <w:noProof/>
        </w:rPr>
        <w:t>$</w:t>
      </w:r>
      <w:r w:rsidRPr="00DE66A0">
        <w:rPr>
          <w:noProof/>
          <w:vertAlign w:val="subscript"/>
        </w:rPr>
        <w:t>2018</w:t>
      </w:r>
      <w:r w:rsidRPr="00DE66A0">
        <w:t>557 million in 2018</w:t>
      </w:r>
      <w:r w:rsidR="00425EB2">
        <w:t xml:space="preserve"> (excluding OODs)</w:t>
      </w:r>
      <w:r w:rsidRPr="00DE66A0">
        <w:t xml:space="preserve">. This is expected to rise to </w:t>
      </w:r>
      <w:r w:rsidRPr="00DE66A0">
        <w:rPr>
          <w:noProof/>
        </w:rPr>
        <w:t>$</w:t>
      </w:r>
      <w:r w:rsidRPr="00DE66A0">
        <w:rPr>
          <w:noProof/>
          <w:vertAlign w:val="subscript"/>
        </w:rPr>
        <w:t>2018</w:t>
      </w:r>
      <w:r w:rsidRPr="00DE66A0">
        <w:t>995 million by 2068.</w:t>
      </w:r>
      <w:r>
        <w:t xml:space="preserve"> </w:t>
      </w:r>
      <w:r w:rsidRPr="00DE66A0">
        <w:t>Agriculture, Fores</w:t>
      </w:r>
      <w:r w:rsidRPr="008B2B3C">
        <w:t xml:space="preserve">try and Fishing contributed </w:t>
      </w:r>
      <w:r w:rsidRPr="008B2B3C">
        <w:rPr>
          <w:noProof/>
        </w:rPr>
        <w:t>$</w:t>
      </w:r>
      <w:r w:rsidRPr="008B2B3C">
        <w:rPr>
          <w:noProof/>
          <w:vertAlign w:val="subscript"/>
        </w:rPr>
        <w:t>2018</w:t>
      </w:r>
      <w:r w:rsidRPr="008B2B3C">
        <w:t xml:space="preserve">152 million of value added while Manufacturing contributed </w:t>
      </w:r>
      <w:r w:rsidRPr="008B2B3C">
        <w:rPr>
          <w:noProof/>
        </w:rPr>
        <w:t>$</w:t>
      </w:r>
      <w:r w:rsidRPr="008B2B3C">
        <w:rPr>
          <w:noProof/>
          <w:vertAlign w:val="subscript"/>
        </w:rPr>
        <w:t>2018</w:t>
      </w:r>
      <w:r w:rsidRPr="008B2B3C">
        <w:t xml:space="preserve">52 million in 2018 and they are projected to increase to </w:t>
      </w:r>
      <w:r w:rsidRPr="008B2B3C">
        <w:rPr>
          <w:noProof/>
        </w:rPr>
        <w:t>$</w:t>
      </w:r>
      <w:r w:rsidRPr="008B2B3C">
        <w:rPr>
          <w:noProof/>
          <w:vertAlign w:val="subscript"/>
        </w:rPr>
        <w:t>2018</w:t>
      </w:r>
      <w:r w:rsidRPr="008B2B3C">
        <w:t xml:space="preserve">268 million and </w:t>
      </w:r>
      <w:r w:rsidRPr="008B2B3C">
        <w:rPr>
          <w:noProof/>
        </w:rPr>
        <w:t>$</w:t>
      </w:r>
      <w:r w:rsidRPr="008B2B3C">
        <w:rPr>
          <w:noProof/>
          <w:vertAlign w:val="subscript"/>
        </w:rPr>
        <w:t>2018</w:t>
      </w:r>
      <w:r w:rsidRPr="008B2B3C">
        <w:t>93.5 million</w:t>
      </w:r>
      <w:r>
        <w:t xml:space="preserve">, </w:t>
      </w:r>
      <w:r w:rsidRPr="008B2B3C">
        <w:t xml:space="preserve">respectively. Financial and Insurance Services in the district increases considerably from </w:t>
      </w:r>
      <w:r w:rsidRPr="008B2B3C">
        <w:rPr>
          <w:noProof/>
        </w:rPr>
        <w:t>$</w:t>
      </w:r>
      <w:r w:rsidRPr="008B2B3C">
        <w:rPr>
          <w:noProof/>
          <w:vertAlign w:val="subscript"/>
        </w:rPr>
        <w:t>2018</w:t>
      </w:r>
      <w:r w:rsidRPr="008B2B3C">
        <w:t xml:space="preserve">4.9 million to </w:t>
      </w:r>
      <w:r w:rsidRPr="008B2B3C">
        <w:rPr>
          <w:noProof/>
        </w:rPr>
        <w:t>$</w:t>
      </w:r>
      <w:r w:rsidRPr="008B2B3C">
        <w:rPr>
          <w:noProof/>
          <w:vertAlign w:val="subscript"/>
        </w:rPr>
        <w:t>2018</w:t>
      </w:r>
      <w:r w:rsidRPr="008B2B3C">
        <w:t xml:space="preserve">12.1 million. The contribution of Accommodation and Food Services to the district’s economy is projected to increase significantly as well, from </w:t>
      </w:r>
      <w:r w:rsidRPr="008B2B3C">
        <w:rPr>
          <w:noProof/>
        </w:rPr>
        <w:t>$</w:t>
      </w:r>
      <w:r w:rsidRPr="008B2B3C">
        <w:rPr>
          <w:noProof/>
          <w:vertAlign w:val="subscript"/>
        </w:rPr>
        <w:t>2018</w:t>
      </w:r>
      <w:r w:rsidRPr="008B2B3C">
        <w:t xml:space="preserve">10.9 million to </w:t>
      </w:r>
      <w:r w:rsidRPr="008B2B3C">
        <w:rPr>
          <w:noProof/>
        </w:rPr>
        <w:t>$</w:t>
      </w:r>
      <w:r w:rsidRPr="008B2B3C">
        <w:rPr>
          <w:noProof/>
          <w:vertAlign w:val="subscript"/>
        </w:rPr>
        <w:t>2018</w:t>
      </w:r>
      <w:r w:rsidRPr="008B2B3C">
        <w:t>26.4 million.</w:t>
      </w:r>
    </w:p>
    <w:p w14:paraId="78AD84D4" w14:textId="77777777" w:rsidR="003D5A61" w:rsidRDefault="003D5A61" w:rsidP="003D5A61"/>
    <w:p w14:paraId="33CDABF5" w14:textId="77777777" w:rsidR="003D5A61" w:rsidRDefault="003D5A61" w:rsidP="003D5A61"/>
    <w:p w14:paraId="744AA20E" w14:textId="77777777" w:rsidR="003D5A61" w:rsidRDefault="003D5A61" w:rsidP="003D5A61"/>
    <w:p w14:paraId="6E37DAEF" w14:textId="77777777" w:rsidR="003D5A61" w:rsidRDefault="003D5A61" w:rsidP="003D5A61"/>
    <w:p w14:paraId="6FD6F9BC" w14:textId="62F2F2E3" w:rsidR="003D5A61" w:rsidRPr="007C04E0" w:rsidRDefault="003D5A61" w:rsidP="003D5A61">
      <w:pPr>
        <w:keepNext/>
        <w:rPr>
          <w:b/>
        </w:rPr>
      </w:pPr>
      <w:r w:rsidRPr="0030120A">
        <w:rPr>
          <w:b/>
        </w:rPr>
        <w:lastRenderedPageBreak/>
        <w:t>Figure 28</w:t>
      </w:r>
      <w:r>
        <w:rPr>
          <w:b/>
        </w:rPr>
        <w:t xml:space="preserve"> Waitomo District Value Added</w:t>
      </w:r>
      <w:r w:rsidR="00080132">
        <w:rPr>
          <w:b/>
        </w:rPr>
        <w:t xml:space="preserve"> under a High Growth Scenario</w:t>
      </w:r>
      <w:r>
        <w:rPr>
          <w:b/>
        </w:rPr>
        <w:t>, 2018 to 2068</w:t>
      </w:r>
    </w:p>
    <w:p w14:paraId="25378554" w14:textId="1649E25C" w:rsidR="003D5A61" w:rsidRPr="001E2BFD" w:rsidRDefault="003D5A61" w:rsidP="003D5A61">
      <w:r>
        <w:rPr>
          <w:noProof/>
        </w:rPr>
        <w:drawing>
          <wp:inline distT="0" distB="0" distL="0" distR="0" wp14:anchorId="159ED512" wp14:editId="0960BDCE">
            <wp:extent cx="5934075" cy="4638675"/>
            <wp:effectExtent l="0"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34075" cy="4638675"/>
                    </a:xfrm>
                    <a:prstGeom prst="rect">
                      <a:avLst/>
                    </a:prstGeom>
                    <a:noFill/>
                    <a:ln>
                      <a:noFill/>
                    </a:ln>
                  </pic:spPr>
                </pic:pic>
              </a:graphicData>
            </a:graphic>
          </wp:inline>
        </w:drawing>
      </w:r>
      <w:r>
        <w:rPr>
          <w:sz w:val="18"/>
          <w:szCs w:val="18"/>
        </w:rPr>
        <w:t xml:space="preserve">Note: The </w:t>
      </w:r>
      <w:proofErr w:type="gramStart"/>
      <w:r>
        <w:rPr>
          <w:sz w:val="18"/>
          <w:szCs w:val="18"/>
        </w:rPr>
        <w:t>value added</w:t>
      </w:r>
      <w:proofErr w:type="gramEnd"/>
      <w:r>
        <w:rPr>
          <w:sz w:val="18"/>
          <w:szCs w:val="18"/>
        </w:rPr>
        <w:t xml:space="preserve"> figures for 2018 to 2020 are estimates based on </w:t>
      </w:r>
      <w:r w:rsidR="0007727B">
        <w:rPr>
          <w:sz w:val="18"/>
          <w:szCs w:val="18"/>
        </w:rPr>
        <w:t>MEResearch</w:t>
      </w:r>
      <w:r>
        <w:rPr>
          <w:sz w:val="18"/>
          <w:szCs w:val="18"/>
        </w:rPr>
        <w:t xml:space="preserve">’s multi-regional input-output table for the financial year ending March 2018 as derived from the latest available </w:t>
      </w:r>
      <w:r w:rsidR="00981F9D">
        <w:rPr>
          <w:sz w:val="18"/>
          <w:szCs w:val="18"/>
        </w:rPr>
        <w:t>StatsNZ</w:t>
      </w:r>
      <w:r>
        <w:rPr>
          <w:sz w:val="18"/>
          <w:szCs w:val="18"/>
        </w:rPr>
        <w:t xml:space="preserve"> Inter-Industry Study of the New Zealand economy.</w:t>
      </w:r>
    </w:p>
    <w:p w14:paraId="5E02ADDF" w14:textId="77777777" w:rsidR="003D5A61" w:rsidRDefault="003D5A61" w:rsidP="003D5A61">
      <w:pPr>
        <w:pStyle w:val="Heading3"/>
      </w:pPr>
      <w:bookmarkStart w:id="33" w:name="_Toc70694900"/>
      <w:bookmarkStart w:id="34" w:name="_Toc403733083"/>
      <w:r w:rsidRPr="008A701B">
        <w:t>Ōtorohanga District</w:t>
      </w:r>
      <w:bookmarkEnd w:id="33"/>
    </w:p>
    <w:bookmarkEnd w:id="34"/>
    <w:p w14:paraId="27D5335B" w14:textId="77777777" w:rsidR="003D5A61" w:rsidRDefault="003D5A61" w:rsidP="003D5A61">
      <w:r>
        <w:t xml:space="preserve">Ōtorohanga District is the </w:t>
      </w:r>
      <w:r w:rsidRPr="00263F6C">
        <w:t>smallest district in</w:t>
      </w:r>
      <w:r>
        <w:t xml:space="preserve"> Waikato Region in terms of economic activity (excluding the Rotorua District that is in Waikato Region). </w:t>
      </w:r>
    </w:p>
    <w:p w14:paraId="392000C0" w14:textId="77777777" w:rsidR="003D5A61" w:rsidRDefault="003D5A61" w:rsidP="003D5A61">
      <w:r>
        <w:t xml:space="preserve">The employment projections of </w:t>
      </w:r>
      <w:r w:rsidRPr="00711E52">
        <w:t>each nineteen ANZSIC industries are presented in Figure 29. It is dominated by Agriculture, Forestry and Fishing. In 2018, 1,722 people (or 36.3% of the district’s</w:t>
      </w:r>
      <w:r>
        <w:t xml:space="preserve"> MECs) were employed in the industry, out of </w:t>
      </w:r>
      <w:r w:rsidRPr="00711E52">
        <w:t xml:space="preserve">a total of 4,739 MECs. Public Administration and Safety is the second largest industry by employment in 2018, </w:t>
      </w:r>
      <w:r w:rsidRPr="00DB4DB8">
        <w:t>with 426 MECs, followed by Manufacturing with 382 MECs. All other industries in the district employed less than 300 MECs in 2018.</w:t>
      </w:r>
    </w:p>
    <w:p w14:paraId="1BC9A5A9" w14:textId="77777777" w:rsidR="003D5A61" w:rsidRDefault="003D5A61" w:rsidP="003D5A61"/>
    <w:p w14:paraId="21E50B0E" w14:textId="77777777" w:rsidR="003D5A61" w:rsidRDefault="003D5A61" w:rsidP="003D5A61"/>
    <w:p w14:paraId="6AE5D693" w14:textId="77777777" w:rsidR="003D5A61" w:rsidRDefault="003D5A61" w:rsidP="003D5A61"/>
    <w:p w14:paraId="6E697EF0" w14:textId="50811211" w:rsidR="003D5A61" w:rsidRPr="007C04E0" w:rsidRDefault="003D5A61" w:rsidP="003D5A61">
      <w:pPr>
        <w:keepNext/>
        <w:rPr>
          <w:b/>
        </w:rPr>
      </w:pPr>
      <w:r>
        <w:rPr>
          <w:b/>
        </w:rPr>
        <w:lastRenderedPageBreak/>
        <w:t>Figure 29 Ōtorohanga District Employment</w:t>
      </w:r>
      <w:r w:rsidR="00080132">
        <w:rPr>
          <w:b/>
        </w:rPr>
        <w:t xml:space="preserve"> under a High Growth Scenario</w:t>
      </w:r>
      <w:r>
        <w:rPr>
          <w:b/>
        </w:rPr>
        <w:t>, 2018 to 2068</w:t>
      </w:r>
    </w:p>
    <w:p w14:paraId="6037A317" w14:textId="628FCDC0" w:rsidR="003D5A61" w:rsidRPr="00591B37" w:rsidRDefault="003D5A61" w:rsidP="003D5A61">
      <w:r>
        <w:rPr>
          <w:noProof/>
        </w:rPr>
        <w:drawing>
          <wp:inline distT="0" distB="0" distL="0" distR="0" wp14:anchorId="5F5E3D09" wp14:editId="3D585AC3">
            <wp:extent cx="5934075" cy="463867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34075" cy="4638675"/>
                    </a:xfrm>
                    <a:prstGeom prst="rect">
                      <a:avLst/>
                    </a:prstGeom>
                    <a:noFill/>
                    <a:ln>
                      <a:noFill/>
                    </a:ln>
                  </pic:spPr>
                </pic:pic>
              </a:graphicData>
            </a:graphic>
          </wp:inline>
        </w:drawing>
      </w:r>
      <w:r>
        <w:rPr>
          <w:sz w:val="18"/>
          <w:szCs w:val="18"/>
        </w:rPr>
        <w:t xml:space="preserve">Note: The employment figures for 2018 through to 2020 are actuals derived from </w:t>
      </w:r>
      <w:proofErr w:type="spellStart"/>
      <w:r w:rsidR="00981F9D">
        <w:rPr>
          <w:sz w:val="18"/>
          <w:szCs w:val="18"/>
        </w:rPr>
        <w:t>StatsNZ</w:t>
      </w:r>
      <w:r>
        <w:rPr>
          <w:sz w:val="18"/>
          <w:szCs w:val="18"/>
        </w:rPr>
        <w:t>’s</w:t>
      </w:r>
      <w:proofErr w:type="spellEnd"/>
      <w:r>
        <w:rPr>
          <w:sz w:val="18"/>
          <w:szCs w:val="18"/>
        </w:rPr>
        <w:t xml:space="preserve"> 2020 Business Directory.</w:t>
      </w:r>
    </w:p>
    <w:p w14:paraId="51788465" w14:textId="382F520F" w:rsidR="003D5A61" w:rsidRDefault="003D5A61" w:rsidP="003D5A61">
      <w:r>
        <w:t xml:space="preserve">The value added projections of each nineteen ANZSIC industries are presented in Figure 30.  Given the dominance of </w:t>
      </w:r>
      <w:r w:rsidRPr="005B406C">
        <w:t xml:space="preserve">Agriculture, Forestry and Fishing, it is not surprising that it contributes the greatest amount of value added to the district. In 2018, the value added of Agriculture, Forestry and Fishing was </w:t>
      </w:r>
      <w:r w:rsidRPr="005B406C">
        <w:rPr>
          <w:noProof/>
        </w:rPr>
        <w:t>$</w:t>
      </w:r>
      <w:r w:rsidRPr="005B406C">
        <w:rPr>
          <w:noProof/>
          <w:vertAlign w:val="subscript"/>
        </w:rPr>
        <w:t>2018</w:t>
      </w:r>
      <w:r w:rsidRPr="005B406C">
        <w:t xml:space="preserve">196 million, or 45.0% of the district’s total </w:t>
      </w:r>
      <w:r w:rsidR="0072150F">
        <w:t>value added</w:t>
      </w:r>
      <w:r w:rsidRPr="005B406C">
        <w:t xml:space="preserve"> </w:t>
      </w:r>
      <w:r w:rsidR="00A90A59">
        <w:t xml:space="preserve">(excluding OODs) </w:t>
      </w:r>
      <w:r w:rsidRPr="005B406C">
        <w:t xml:space="preserve">of </w:t>
      </w:r>
      <w:r w:rsidRPr="005B406C">
        <w:rPr>
          <w:noProof/>
        </w:rPr>
        <w:t>$</w:t>
      </w:r>
      <w:r w:rsidRPr="005B406C">
        <w:rPr>
          <w:noProof/>
          <w:vertAlign w:val="subscript"/>
        </w:rPr>
        <w:t>2018</w:t>
      </w:r>
      <w:r w:rsidRPr="005B406C">
        <w:t xml:space="preserve">436 million. Agriculture, Forestry and Fishing is projected to increase to </w:t>
      </w:r>
      <w:r w:rsidRPr="005B406C">
        <w:rPr>
          <w:noProof/>
        </w:rPr>
        <w:t>$</w:t>
      </w:r>
      <w:r w:rsidRPr="005B406C">
        <w:rPr>
          <w:noProof/>
          <w:vertAlign w:val="subscript"/>
        </w:rPr>
        <w:t>2018</w:t>
      </w:r>
      <w:r w:rsidRPr="005B406C">
        <w:t xml:space="preserve">265 million by 2068 in value added terms which would constitute 33.4% of the district’s value added (of </w:t>
      </w:r>
      <w:r w:rsidRPr="005B406C">
        <w:rPr>
          <w:noProof/>
        </w:rPr>
        <w:t>$</w:t>
      </w:r>
      <w:r w:rsidRPr="005B406C">
        <w:rPr>
          <w:noProof/>
          <w:vertAlign w:val="subscript"/>
        </w:rPr>
        <w:t>2018</w:t>
      </w:r>
      <w:r w:rsidRPr="005B406C">
        <w:t>791 million</w:t>
      </w:r>
      <w:r w:rsidR="00A90A59">
        <w:t>, excluding OODs</w:t>
      </w:r>
      <w:r w:rsidRPr="005B406C">
        <w:t>).</w:t>
      </w:r>
      <w:r>
        <w:t xml:space="preserve"> </w:t>
      </w:r>
      <w:r w:rsidRPr="005B406C">
        <w:t xml:space="preserve">Electricity, Gas, Water and Waste services grows considerably from </w:t>
      </w:r>
      <w:r w:rsidRPr="005B406C">
        <w:rPr>
          <w:noProof/>
        </w:rPr>
        <w:t>$</w:t>
      </w:r>
      <w:r w:rsidRPr="005B406C">
        <w:rPr>
          <w:noProof/>
          <w:vertAlign w:val="subscript"/>
        </w:rPr>
        <w:t>2018</w:t>
      </w:r>
      <w:r w:rsidRPr="005B406C">
        <w:t xml:space="preserve">2.66 million to </w:t>
      </w:r>
      <w:r w:rsidRPr="005B406C">
        <w:rPr>
          <w:noProof/>
        </w:rPr>
        <w:t>$</w:t>
      </w:r>
      <w:r w:rsidRPr="005B406C">
        <w:rPr>
          <w:noProof/>
          <w:vertAlign w:val="subscript"/>
        </w:rPr>
        <w:t>2018</w:t>
      </w:r>
      <w:r w:rsidRPr="005B406C">
        <w:t>24.4 million</w:t>
      </w:r>
      <w:r>
        <w:t xml:space="preserve"> in the </w:t>
      </w:r>
      <w:r w:rsidRPr="005B406C">
        <w:t>50-year period. Other industries that are projected to grow significantly over the next 50 years include: Construction, Other Services, and Manufacturing.</w:t>
      </w:r>
    </w:p>
    <w:p w14:paraId="177BE4C5" w14:textId="77777777" w:rsidR="003D5A61" w:rsidRDefault="003D5A61" w:rsidP="003D5A61"/>
    <w:p w14:paraId="07041763" w14:textId="77777777" w:rsidR="003D5A61" w:rsidRDefault="003D5A61" w:rsidP="003D5A61"/>
    <w:p w14:paraId="4301DED2" w14:textId="77777777" w:rsidR="003D5A61" w:rsidRDefault="003D5A61" w:rsidP="003D5A61"/>
    <w:p w14:paraId="39CDFE6C" w14:textId="77777777" w:rsidR="003D5A61" w:rsidRDefault="003D5A61" w:rsidP="003D5A61"/>
    <w:p w14:paraId="2EA650CC" w14:textId="229599FA" w:rsidR="003D5A61" w:rsidRPr="007C04E0" w:rsidRDefault="003D5A61" w:rsidP="003D5A61">
      <w:pPr>
        <w:keepNext/>
        <w:rPr>
          <w:b/>
        </w:rPr>
      </w:pPr>
      <w:r>
        <w:rPr>
          <w:b/>
        </w:rPr>
        <w:lastRenderedPageBreak/>
        <w:t>Figure 30 Ōtorohanga District Value Added</w:t>
      </w:r>
      <w:r w:rsidR="00080132">
        <w:rPr>
          <w:b/>
        </w:rPr>
        <w:t xml:space="preserve"> under a High Growth Scenario</w:t>
      </w:r>
      <w:r>
        <w:rPr>
          <w:b/>
        </w:rPr>
        <w:t>, 2018 to 2068</w:t>
      </w:r>
    </w:p>
    <w:p w14:paraId="3D767A9A" w14:textId="73505ACC" w:rsidR="003D5A61" w:rsidRPr="00C42891" w:rsidRDefault="003D5A61" w:rsidP="003D5A61">
      <w:r>
        <w:rPr>
          <w:noProof/>
        </w:rPr>
        <w:drawing>
          <wp:inline distT="0" distB="0" distL="0" distR="0" wp14:anchorId="019EB22D" wp14:editId="402618D4">
            <wp:extent cx="5934075" cy="463867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34075" cy="4638675"/>
                    </a:xfrm>
                    <a:prstGeom prst="rect">
                      <a:avLst/>
                    </a:prstGeom>
                    <a:noFill/>
                    <a:ln>
                      <a:noFill/>
                    </a:ln>
                  </pic:spPr>
                </pic:pic>
              </a:graphicData>
            </a:graphic>
          </wp:inline>
        </w:drawing>
      </w:r>
      <w:r>
        <w:rPr>
          <w:sz w:val="18"/>
          <w:szCs w:val="18"/>
        </w:rPr>
        <w:t xml:space="preserve">Note: The employment figures for 2018 through to 2020 are actuals derived from </w:t>
      </w:r>
      <w:proofErr w:type="spellStart"/>
      <w:r w:rsidR="00981F9D">
        <w:rPr>
          <w:sz w:val="18"/>
          <w:szCs w:val="18"/>
        </w:rPr>
        <w:t>StatsNZ</w:t>
      </w:r>
      <w:r>
        <w:rPr>
          <w:sz w:val="18"/>
          <w:szCs w:val="18"/>
        </w:rPr>
        <w:t>’s</w:t>
      </w:r>
      <w:proofErr w:type="spellEnd"/>
      <w:r>
        <w:rPr>
          <w:sz w:val="18"/>
          <w:szCs w:val="18"/>
        </w:rPr>
        <w:t xml:space="preserve"> 2020 Business Directory.</w:t>
      </w:r>
    </w:p>
    <w:p w14:paraId="054A2D48" w14:textId="77777777" w:rsidR="003D5A61" w:rsidRDefault="003D5A61" w:rsidP="003D5A61"/>
    <w:p w14:paraId="09B7D3A3" w14:textId="77777777" w:rsidR="003D5A61" w:rsidRDefault="003D5A61" w:rsidP="003D5A61"/>
    <w:p w14:paraId="6C3EDBB2" w14:textId="77777777" w:rsidR="003D5A61" w:rsidRDefault="003D5A61" w:rsidP="003D5A61"/>
    <w:p w14:paraId="427F2071" w14:textId="77777777" w:rsidR="003D5A61" w:rsidRDefault="003D5A61" w:rsidP="003D5A61"/>
    <w:p w14:paraId="220C74BB" w14:textId="77777777" w:rsidR="003D5A61" w:rsidRDefault="003D5A61" w:rsidP="003D5A61"/>
    <w:p w14:paraId="52E6F011" w14:textId="77777777" w:rsidR="003D5A61" w:rsidRDefault="003D5A61" w:rsidP="003D5A61"/>
    <w:p w14:paraId="0094969E" w14:textId="77777777" w:rsidR="003D5A61" w:rsidRDefault="003D5A61" w:rsidP="003D5A61"/>
    <w:p w14:paraId="5F62E817" w14:textId="77777777" w:rsidR="003D5A61" w:rsidRDefault="003D5A61" w:rsidP="003D5A61"/>
    <w:p w14:paraId="706E9923" w14:textId="77777777" w:rsidR="003D5A61" w:rsidRDefault="003D5A61" w:rsidP="003D5A61"/>
    <w:p w14:paraId="5DF5D6C3" w14:textId="77777777" w:rsidR="003D5A61" w:rsidRDefault="003D5A61" w:rsidP="003D5A61"/>
    <w:p w14:paraId="2B18071A" w14:textId="7D7047D1" w:rsidR="003D5A61" w:rsidRPr="00C353CD" w:rsidRDefault="003D5A61" w:rsidP="003D5A61">
      <w:pPr>
        <w:pStyle w:val="Heading2"/>
      </w:pPr>
      <w:bookmarkStart w:id="35" w:name="_Toc70694901"/>
      <w:r>
        <w:lastRenderedPageBreak/>
        <w:t>Project</w:t>
      </w:r>
      <w:r w:rsidR="00334FA0">
        <w:t>ions</w:t>
      </w:r>
      <w:r>
        <w:t xml:space="preserve"> within each Statistical Area 2</w:t>
      </w:r>
      <w:bookmarkEnd w:id="35"/>
    </w:p>
    <w:p w14:paraId="53D548C9" w14:textId="49EED7DF" w:rsidR="003D5A61" w:rsidRDefault="003D5A61" w:rsidP="003D5A61">
      <w:r>
        <w:t>As we analyse over 2</w:t>
      </w:r>
      <w:r w:rsidR="00334FA0">
        <w:t>4</w:t>
      </w:r>
      <w:r>
        <w:t xml:space="preserve">0 SA2s in Waikato Region, it is impractical to go over every SA2 projection in this document. However, we wish to direct readers to the level of economic detail that is now available for use, for planning and decision making. For illustrative purposes, we have already reported on selected SA2s in the above sections on projected changes to TAs. </w:t>
      </w:r>
    </w:p>
    <w:p w14:paraId="385626C7" w14:textId="78586B40" w:rsidR="003D5A61" w:rsidRDefault="003D5A61" w:rsidP="003D5A61">
      <w:r>
        <w:t xml:space="preserve">Caution is warranted </w:t>
      </w:r>
      <w:r w:rsidR="00A90A59">
        <w:t>in using the</w:t>
      </w:r>
      <w:r>
        <w:t xml:space="preserve"> reported projections. These results are indicative of how the SA2s could transition into the future but are in no way indicative of what will transpire. A decision to either relocate an industry or locate a new/emerging industry in a particular area can have transformative effects </w:t>
      </w:r>
      <w:r w:rsidR="00A90A59">
        <w:t>on</w:t>
      </w:r>
      <w:r>
        <w:t xml:space="preserve"> that locality, and we are certain that such decisions will be taken, and hence the accuracy of the projections at SA2 level are called into question. The Statistical Area projections can be seen to be accurate in as much as the SA2s follow recent trends, given the land use constraints that were identified through the WISE modelling. </w:t>
      </w:r>
    </w:p>
    <w:p w14:paraId="5C1A7F60" w14:textId="645C2694" w:rsidR="003D5A61" w:rsidRDefault="003D5A61" w:rsidP="003D5A61">
      <w:r>
        <w:t xml:space="preserve">We have undertaken a cursory analysis of the trends in the projected SA2 data. For example, in terms of concentration of employment, five SA2s within Waikato Region have significant proportions of the region’s employees, all within </w:t>
      </w:r>
      <w:r w:rsidRPr="00E23BF1">
        <w:t>Hamilton City. By 2068, Frankton Junction is projected to have</w:t>
      </w:r>
      <w:r>
        <w:t xml:space="preserve"> the highest share of</w:t>
      </w:r>
      <w:r w:rsidRPr="00E23BF1">
        <w:t xml:space="preserve"> 6.65% of total MECs</w:t>
      </w:r>
      <w:r>
        <w:t>. This is followed by Te Rapa North with 6.36%, Te Rapa South with 5.45%, Hamilton Central with 5.31%, and Hamilton West with 3.15%.</w:t>
      </w:r>
      <w:r w:rsidRPr="00E23BF1">
        <w:t xml:space="preserve"> </w:t>
      </w:r>
      <w:r>
        <w:t xml:space="preserve">These </w:t>
      </w:r>
      <w:r w:rsidRPr="007955B1">
        <w:t>five SA2s make up 26.9% of Waikato</w:t>
      </w:r>
      <w:r>
        <w:t xml:space="preserve"> Region total. By 2068, six SA2s have </w:t>
      </w:r>
      <w:r w:rsidRPr="007955B1">
        <w:t>more than 2% of the</w:t>
      </w:r>
      <w:r>
        <w:t xml:space="preserve"> region’s MECs, and eleven SA2s have b</w:t>
      </w:r>
      <w:r w:rsidRPr="00EB5C1A">
        <w:t>etween 1-2%, 221 SA2s have less than 1% of the region’s MECs in 2068. Unsurprisingly, this reinforces the</w:t>
      </w:r>
      <w:r>
        <w:t xml:space="preserve"> overall dominance of employment within </w:t>
      </w:r>
      <w:r w:rsidRPr="0084540F">
        <w:t xml:space="preserve">Hamilton </w:t>
      </w:r>
      <w:r w:rsidR="00A90A59">
        <w:t>C</w:t>
      </w:r>
      <w:r w:rsidRPr="0084540F">
        <w:t>ity.</w:t>
      </w:r>
    </w:p>
    <w:p w14:paraId="7F9572F8" w14:textId="3E40E364" w:rsidR="003D5A61" w:rsidRDefault="003D5A61" w:rsidP="003D5A61">
      <w:r>
        <w:t>Although there is overall growth in employment in Waikato Region, some TAs and SA2s are projected to experience a decline in employment between 2018 and 2068. These are shown in Table 3.</w:t>
      </w:r>
    </w:p>
    <w:p w14:paraId="23687FEB" w14:textId="53B40DB4" w:rsidR="003D5A61" w:rsidRDefault="003D5A61" w:rsidP="003D5A61">
      <w:r>
        <w:t xml:space="preserve">Further analysis of the changes within each SA2 is required, to enable an understanding of the industries which are projected to lose employees. The spatial modelling enables an analysis by </w:t>
      </w:r>
      <w:r w:rsidR="00A90A59">
        <w:t>SA2</w:t>
      </w:r>
      <w:r>
        <w:t xml:space="preserve"> level. Although it is too detailed to present each </w:t>
      </w:r>
      <w:r w:rsidR="00A90A59">
        <w:t>SA2</w:t>
      </w:r>
      <w:r>
        <w:t xml:space="preserve"> in this report, it is worth noting that the projected changes by industry can be explored at the SA2 level, giving a valuable insight into how industry is likely or could change within TAs. We stress that this is only one projected pathway, and there are an infinite number of alternative pathways.  </w:t>
      </w:r>
    </w:p>
    <w:p w14:paraId="7B001C88" w14:textId="77777777" w:rsidR="003D5A61" w:rsidRDefault="003D5A61" w:rsidP="003D5A61"/>
    <w:p w14:paraId="4E537628" w14:textId="77777777" w:rsidR="003D5A61" w:rsidRDefault="003D5A61" w:rsidP="003D5A61"/>
    <w:p w14:paraId="72E8B3F8" w14:textId="77777777" w:rsidR="003D5A61" w:rsidRDefault="003D5A61" w:rsidP="003D5A61">
      <w:pPr>
        <w:rPr>
          <w:b/>
        </w:rPr>
      </w:pPr>
    </w:p>
    <w:p w14:paraId="644D3052" w14:textId="77777777" w:rsidR="003D5A61" w:rsidRDefault="003D5A61" w:rsidP="003D5A61">
      <w:pPr>
        <w:rPr>
          <w:b/>
        </w:rPr>
      </w:pPr>
    </w:p>
    <w:p w14:paraId="0043A41E" w14:textId="77777777" w:rsidR="003D5A61" w:rsidRDefault="003D5A61" w:rsidP="003D5A61">
      <w:pPr>
        <w:rPr>
          <w:b/>
        </w:rPr>
      </w:pPr>
    </w:p>
    <w:p w14:paraId="3DFBBCB5" w14:textId="77777777" w:rsidR="003D5A61" w:rsidRDefault="003D5A61" w:rsidP="003D5A61">
      <w:pPr>
        <w:rPr>
          <w:b/>
        </w:rPr>
      </w:pPr>
    </w:p>
    <w:p w14:paraId="7D83533A" w14:textId="77777777" w:rsidR="003D5A61" w:rsidRDefault="003D5A61" w:rsidP="003D5A61">
      <w:pPr>
        <w:rPr>
          <w:b/>
        </w:rPr>
      </w:pPr>
    </w:p>
    <w:p w14:paraId="321CE0BE" w14:textId="29E34B07" w:rsidR="003D5A61" w:rsidRPr="0051128D" w:rsidRDefault="003D5A61" w:rsidP="003D5A61">
      <w:r w:rsidRPr="00740E4F">
        <w:rPr>
          <w:b/>
        </w:rPr>
        <w:lastRenderedPageBreak/>
        <w:t>Table 3</w:t>
      </w:r>
      <w:r w:rsidRPr="00740E4F">
        <w:rPr>
          <w:b/>
        </w:rPr>
        <w:tab/>
      </w:r>
      <w:r>
        <w:rPr>
          <w:b/>
        </w:rPr>
        <w:t xml:space="preserve">SA2 </w:t>
      </w:r>
      <w:r w:rsidR="00080132">
        <w:rPr>
          <w:b/>
        </w:rPr>
        <w:t>A</w:t>
      </w:r>
      <w:r w:rsidRPr="00740E4F">
        <w:rPr>
          <w:b/>
        </w:rPr>
        <w:t>reas</w:t>
      </w:r>
      <w:r>
        <w:rPr>
          <w:b/>
        </w:rPr>
        <w:t xml:space="preserve"> with </w:t>
      </w:r>
      <w:r w:rsidR="00080132">
        <w:rPr>
          <w:b/>
        </w:rPr>
        <w:t>P</w:t>
      </w:r>
      <w:r>
        <w:rPr>
          <w:b/>
        </w:rPr>
        <w:t xml:space="preserve">rojected </w:t>
      </w:r>
      <w:r w:rsidR="00080132">
        <w:rPr>
          <w:b/>
        </w:rPr>
        <w:t>D</w:t>
      </w:r>
      <w:r>
        <w:rPr>
          <w:b/>
        </w:rPr>
        <w:t xml:space="preserve">ecline in </w:t>
      </w:r>
      <w:r w:rsidR="00080132">
        <w:rPr>
          <w:b/>
        </w:rPr>
        <w:t>E</w:t>
      </w:r>
      <w:r>
        <w:rPr>
          <w:b/>
        </w:rPr>
        <w:t>mployment</w:t>
      </w:r>
      <w:r w:rsidR="00080132">
        <w:rPr>
          <w:b/>
        </w:rPr>
        <w:t xml:space="preserve"> under a High Growth Scenario</w:t>
      </w:r>
      <w:r>
        <w:rPr>
          <w:b/>
        </w:rPr>
        <w:t>, 2018 to 2068.</w:t>
      </w:r>
    </w:p>
    <w:tbl>
      <w:tblPr>
        <w:tblStyle w:val="GridTable5Dark-Accent5"/>
        <w:tblW w:w="9351" w:type="dxa"/>
        <w:tblLayout w:type="fixed"/>
        <w:tblLook w:val="04A0" w:firstRow="1" w:lastRow="0" w:firstColumn="1" w:lastColumn="0" w:noHBand="0" w:noVBand="1"/>
      </w:tblPr>
      <w:tblGrid>
        <w:gridCol w:w="1355"/>
        <w:gridCol w:w="1554"/>
        <w:gridCol w:w="1102"/>
        <w:gridCol w:w="1077"/>
        <w:gridCol w:w="1570"/>
        <w:gridCol w:w="1134"/>
        <w:gridCol w:w="1559"/>
      </w:tblGrid>
      <w:tr w:rsidR="003D5A61" w14:paraId="340147AE" w14:textId="77777777" w:rsidTr="003D5A61">
        <w:trPr>
          <w:cnfStyle w:val="100000000000" w:firstRow="1" w:lastRow="0" w:firstColumn="0" w:lastColumn="0" w:oddVBand="0" w:evenVBand="0" w:oddHBand="0"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1355" w:type="dxa"/>
            <w:shd w:val="clear" w:color="auto" w:fill="31849B" w:themeFill="accent5" w:themeFillShade="BF"/>
            <w:vAlign w:val="center"/>
          </w:tcPr>
          <w:p w14:paraId="18E6987E" w14:textId="77777777" w:rsidR="003D5A61" w:rsidRDefault="003D5A61" w:rsidP="003D5A61">
            <w:pPr>
              <w:keepNext/>
              <w:spacing w:after="120"/>
              <w:jc w:val="center"/>
              <w:rPr>
                <w:b w:val="0"/>
              </w:rPr>
            </w:pPr>
            <w:r>
              <w:rPr>
                <w:b w:val="0"/>
              </w:rPr>
              <w:t>Statistical Area</w:t>
            </w:r>
          </w:p>
        </w:tc>
        <w:tc>
          <w:tcPr>
            <w:tcW w:w="1554" w:type="dxa"/>
            <w:shd w:val="clear" w:color="auto" w:fill="31849B" w:themeFill="accent5" w:themeFillShade="BF"/>
            <w:vAlign w:val="center"/>
          </w:tcPr>
          <w:p w14:paraId="6174C77A" w14:textId="77777777" w:rsidR="003D5A61" w:rsidRDefault="003D5A61" w:rsidP="003D5A61">
            <w:pPr>
              <w:keepNext/>
              <w:spacing w:after="120"/>
              <w:jc w:val="center"/>
              <w:cnfStyle w:val="100000000000" w:firstRow="1" w:lastRow="0" w:firstColumn="0" w:lastColumn="0" w:oddVBand="0" w:evenVBand="0" w:oddHBand="0" w:evenHBand="0" w:firstRowFirstColumn="0" w:firstRowLastColumn="0" w:lastRowFirstColumn="0" w:lastRowLastColumn="0"/>
              <w:rPr>
                <w:b w:val="0"/>
              </w:rPr>
            </w:pPr>
            <w:r>
              <w:rPr>
                <w:b w:val="0"/>
              </w:rPr>
              <w:t>Territorial Authority</w:t>
            </w:r>
          </w:p>
        </w:tc>
        <w:tc>
          <w:tcPr>
            <w:tcW w:w="1102" w:type="dxa"/>
            <w:shd w:val="clear" w:color="auto" w:fill="31849B" w:themeFill="accent5" w:themeFillShade="BF"/>
            <w:vAlign w:val="center"/>
          </w:tcPr>
          <w:p w14:paraId="58158BE1" w14:textId="77777777" w:rsidR="003D5A61" w:rsidRDefault="003D5A61" w:rsidP="003D5A61">
            <w:pPr>
              <w:keepNext/>
              <w:spacing w:after="120"/>
              <w:jc w:val="center"/>
              <w:cnfStyle w:val="100000000000" w:firstRow="1" w:lastRow="0" w:firstColumn="0" w:lastColumn="0" w:oddVBand="0" w:evenVBand="0" w:oddHBand="0" w:evenHBand="0" w:firstRowFirstColumn="0" w:firstRowLastColumn="0" w:lastRowFirstColumn="0" w:lastRowLastColumn="0"/>
              <w:rPr>
                <w:b w:val="0"/>
              </w:rPr>
            </w:pPr>
            <w:r>
              <w:rPr>
                <w:b w:val="0"/>
              </w:rPr>
              <w:t>Actual MECs in 2018</w:t>
            </w:r>
          </w:p>
        </w:tc>
        <w:tc>
          <w:tcPr>
            <w:tcW w:w="1077" w:type="dxa"/>
            <w:shd w:val="clear" w:color="auto" w:fill="31849B" w:themeFill="accent5" w:themeFillShade="BF"/>
            <w:vAlign w:val="center"/>
          </w:tcPr>
          <w:p w14:paraId="4DA41A8B" w14:textId="77777777" w:rsidR="003D5A61" w:rsidRDefault="003D5A61" w:rsidP="003D5A61">
            <w:pPr>
              <w:keepNext/>
              <w:spacing w:after="120"/>
              <w:jc w:val="center"/>
              <w:cnfStyle w:val="100000000000" w:firstRow="1" w:lastRow="0" w:firstColumn="0" w:lastColumn="0" w:oddVBand="0" w:evenVBand="0" w:oddHBand="0" w:evenHBand="0" w:firstRowFirstColumn="0" w:firstRowLastColumn="0" w:lastRowFirstColumn="0" w:lastRowLastColumn="0"/>
              <w:rPr>
                <w:b w:val="0"/>
              </w:rPr>
            </w:pPr>
            <w:r>
              <w:rPr>
                <w:b w:val="0"/>
              </w:rPr>
              <w:t>Projected MECs in 2038</w:t>
            </w:r>
          </w:p>
        </w:tc>
        <w:tc>
          <w:tcPr>
            <w:tcW w:w="1570" w:type="dxa"/>
            <w:shd w:val="clear" w:color="auto" w:fill="31849B" w:themeFill="accent5" w:themeFillShade="BF"/>
            <w:vAlign w:val="center"/>
          </w:tcPr>
          <w:p w14:paraId="2B9B1E3D" w14:textId="77777777" w:rsidR="003D5A61" w:rsidRDefault="003D5A61" w:rsidP="003D5A61">
            <w:pPr>
              <w:keepNext/>
              <w:spacing w:after="120"/>
              <w:jc w:val="center"/>
              <w:cnfStyle w:val="100000000000" w:firstRow="1" w:lastRow="0" w:firstColumn="0" w:lastColumn="0" w:oddVBand="0" w:evenVBand="0" w:oddHBand="0" w:evenHBand="0" w:firstRowFirstColumn="0" w:firstRowLastColumn="0" w:lastRowFirstColumn="0" w:lastRowLastColumn="0"/>
              <w:rPr>
                <w:b w:val="0"/>
              </w:rPr>
            </w:pPr>
            <w:r>
              <w:rPr>
                <w:b w:val="0"/>
              </w:rPr>
              <w:t>Compounded Annual Growth Rate (2018 - 2038)</w:t>
            </w:r>
          </w:p>
        </w:tc>
        <w:tc>
          <w:tcPr>
            <w:tcW w:w="1134" w:type="dxa"/>
            <w:shd w:val="clear" w:color="auto" w:fill="31849B" w:themeFill="accent5" w:themeFillShade="BF"/>
            <w:vAlign w:val="center"/>
          </w:tcPr>
          <w:p w14:paraId="78E3D888" w14:textId="77777777" w:rsidR="003D5A61" w:rsidRDefault="003D5A61" w:rsidP="003D5A61">
            <w:pPr>
              <w:keepNext/>
              <w:spacing w:after="120"/>
              <w:jc w:val="center"/>
              <w:cnfStyle w:val="100000000000" w:firstRow="1" w:lastRow="0" w:firstColumn="0" w:lastColumn="0" w:oddVBand="0" w:evenVBand="0" w:oddHBand="0" w:evenHBand="0" w:firstRowFirstColumn="0" w:firstRowLastColumn="0" w:lastRowFirstColumn="0" w:lastRowLastColumn="0"/>
              <w:rPr>
                <w:b w:val="0"/>
              </w:rPr>
            </w:pPr>
            <w:r>
              <w:rPr>
                <w:b w:val="0"/>
              </w:rPr>
              <w:t>Projected MECs in 2068</w:t>
            </w:r>
          </w:p>
        </w:tc>
        <w:tc>
          <w:tcPr>
            <w:tcW w:w="1559" w:type="dxa"/>
            <w:shd w:val="clear" w:color="auto" w:fill="31849B" w:themeFill="accent5" w:themeFillShade="BF"/>
            <w:vAlign w:val="center"/>
          </w:tcPr>
          <w:p w14:paraId="57F6D975" w14:textId="77777777" w:rsidR="003D5A61" w:rsidRDefault="003D5A61" w:rsidP="003D5A61">
            <w:pPr>
              <w:keepNext/>
              <w:spacing w:after="120"/>
              <w:jc w:val="center"/>
              <w:cnfStyle w:val="100000000000" w:firstRow="1" w:lastRow="0" w:firstColumn="0" w:lastColumn="0" w:oddVBand="0" w:evenVBand="0" w:oddHBand="0" w:evenHBand="0" w:firstRowFirstColumn="0" w:firstRowLastColumn="0" w:lastRowFirstColumn="0" w:lastRowLastColumn="0"/>
              <w:rPr>
                <w:b w:val="0"/>
              </w:rPr>
            </w:pPr>
            <w:r>
              <w:rPr>
                <w:b w:val="0"/>
              </w:rPr>
              <w:t>Compounded Annual Growth Rate (2018 - 2068)</w:t>
            </w:r>
          </w:p>
        </w:tc>
      </w:tr>
      <w:tr w:rsidR="003D5A61" w14:paraId="5B76316E" w14:textId="77777777" w:rsidTr="003D5A6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355" w:type="dxa"/>
            <w:vAlign w:val="center"/>
          </w:tcPr>
          <w:p w14:paraId="3027A073" w14:textId="77777777" w:rsidR="003D5A61" w:rsidRPr="00AD342A" w:rsidRDefault="003D5A61" w:rsidP="003D5A61">
            <w:pPr>
              <w:keepNext/>
              <w:spacing w:after="120"/>
              <w:rPr>
                <w:b w:val="0"/>
                <w:bCs w:val="0"/>
              </w:rPr>
            </w:pPr>
            <w:r w:rsidRPr="00AD342A">
              <w:rPr>
                <w:b w:val="0"/>
                <w:bCs w:val="0"/>
              </w:rPr>
              <w:t>Hillcrest East (Hamilton City)</w:t>
            </w:r>
          </w:p>
        </w:tc>
        <w:tc>
          <w:tcPr>
            <w:tcW w:w="1554" w:type="dxa"/>
            <w:vAlign w:val="center"/>
          </w:tcPr>
          <w:p w14:paraId="7B432521" w14:textId="77777777" w:rsidR="003D5A61" w:rsidRPr="00AD342A" w:rsidRDefault="003D5A61" w:rsidP="003D5A61">
            <w:pPr>
              <w:keepNext/>
              <w:spacing w:after="120"/>
              <w:cnfStyle w:val="000000100000" w:firstRow="0" w:lastRow="0" w:firstColumn="0" w:lastColumn="0" w:oddVBand="0" w:evenVBand="0" w:oddHBand="1" w:evenHBand="0" w:firstRowFirstColumn="0" w:firstRowLastColumn="0" w:lastRowFirstColumn="0" w:lastRowLastColumn="0"/>
            </w:pPr>
            <w:r w:rsidRPr="00AD342A">
              <w:t>Hamilton City</w:t>
            </w:r>
          </w:p>
        </w:tc>
        <w:tc>
          <w:tcPr>
            <w:tcW w:w="1102" w:type="dxa"/>
            <w:vAlign w:val="center"/>
          </w:tcPr>
          <w:p w14:paraId="59F45C85" w14:textId="77777777" w:rsidR="003D5A61" w:rsidRPr="00AD342A" w:rsidRDefault="003D5A61" w:rsidP="003D5A61">
            <w:pPr>
              <w:keepNext/>
              <w:spacing w:after="120"/>
              <w:jc w:val="right"/>
              <w:cnfStyle w:val="000000100000" w:firstRow="0" w:lastRow="0" w:firstColumn="0" w:lastColumn="0" w:oddVBand="0" w:evenVBand="0" w:oddHBand="1" w:evenHBand="0" w:firstRowFirstColumn="0" w:firstRowLastColumn="0" w:lastRowFirstColumn="0" w:lastRowLastColumn="0"/>
            </w:pPr>
            <w:r>
              <w:t>1,155</w:t>
            </w:r>
          </w:p>
        </w:tc>
        <w:tc>
          <w:tcPr>
            <w:tcW w:w="1077" w:type="dxa"/>
            <w:vAlign w:val="center"/>
          </w:tcPr>
          <w:p w14:paraId="0E8E4C23" w14:textId="77777777" w:rsidR="003D5A61" w:rsidRPr="00AD342A" w:rsidRDefault="003D5A61" w:rsidP="003D5A61">
            <w:pPr>
              <w:keepNext/>
              <w:spacing w:after="120"/>
              <w:jc w:val="right"/>
              <w:cnfStyle w:val="000000100000" w:firstRow="0" w:lastRow="0" w:firstColumn="0" w:lastColumn="0" w:oddVBand="0" w:evenVBand="0" w:oddHBand="1" w:evenHBand="0" w:firstRowFirstColumn="0" w:firstRowLastColumn="0" w:lastRowFirstColumn="0" w:lastRowLastColumn="0"/>
            </w:pPr>
            <w:r>
              <w:t>668</w:t>
            </w:r>
          </w:p>
        </w:tc>
        <w:tc>
          <w:tcPr>
            <w:tcW w:w="1570" w:type="dxa"/>
            <w:vAlign w:val="center"/>
          </w:tcPr>
          <w:p w14:paraId="040B8AD3" w14:textId="77777777" w:rsidR="003D5A61" w:rsidRPr="00AD342A" w:rsidRDefault="003D5A61" w:rsidP="003D5A61">
            <w:pPr>
              <w:keepNext/>
              <w:spacing w:after="120"/>
              <w:jc w:val="right"/>
              <w:cnfStyle w:val="000000100000" w:firstRow="0" w:lastRow="0" w:firstColumn="0" w:lastColumn="0" w:oddVBand="0" w:evenVBand="0" w:oddHBand="1" w:evenHBand="0" w:firstRowFirstColumn="0" w:firstRowLastColumn="0" w:lastRowFirstColumn="0" w:lastRowLastColumn="0"/>
            </w:pPr>
            <w:r>
              <w:t>-2.70%</w:t>
            </w:r>
          </w:p>
        </w:tc>
        <w:tc>
          <w:tcPr>
            <w:tcW w:w="1134" w:type="dxa"/>
            <w:vAlign w:val="center"/>
          </w:tcPr>
          <w:p w14:paraId="49D9654B" w14:textId="77777777" w:rsidR="003D5A61" w:rsidRPr="00AD342A" w:rsidRDefault="003D5A61" w:rsidP="003D5A61">
            <w:pPr>
              <w:keepNext/>
              <w:spacing w:after="120"/>
              <w:jc w:val="right"/>
              <w:cnfStyle w:val="000000100000" w:firstRow="0" w:lastRow="0" w:firstColumn="0" w:lastColumn="0" w:oddVBand="0" w:evenVBand="0" w:oddHBand="1" w:evenHBand="0" w:firstRowFirstColumn="0" w:firstRowLastColumn="0" w:lastRowFirstColumn="0" w:lastRowLastColumn="0"/>
            </w:pPr>
            <w:r>
              <w:t>788</w:t>
            </w:r>
          </w:p>
        </w:tc>
        <w:tc>
          <w:tcPr>
            <w:tcW w:w="1559" w:type="dxa"/>
            <w:vAlign w:val="center"/>
          </w:tcPr>
          <w:p w14:paraId="340FC145" w14:textId="77777777" w:rsidR="003D5A61" w:rsidRPr="00AD342A" w:rsidRDefault="003D5A61" w:rsidP="003D5A61">
            <w:pPr>
              <w:keepNext/>
              <w:spacing w:after="120"/>
              <w:jc w:val="right"/>
              <w:cnfStyle w:val="000000100000" w:firstRow="0" w:lastRow="0" w:firstColumn="0" w:lastColumn="0" w:oddVBand="0" w:evenVBand="0" w:oddHBand="1" w:evenHBand="0" w:firstRowFirstColumn="0" w:firstRowLastColumn="0" w:lastRowFirstColumn="0" w:lastRowLastColumn="0"/>
            </w:pPr>
            <w:r>
              <w:t>-0.76%</w:t>
            </w:r>
          </w:p>
        </w:tc>
      </w:tr>
      <w:tr w:rsidR="003D5A61" w14:paraId="257D3BF0" w14:textId="77777777" w:rsidTr="003D5A61">
        <w:trPr>
          <w:trHeight w:val="64"/>
        </w:trPr>
        <w:tc>
          <w:tcPr>
            <w:cnfStyle w:val="001000000000" w:firstRow="0" w:lastRow="0" w:firstColumn="1" w:lastColumn="0" w:oddVBand="0" w:evenVBand="0" w:oddHBand="0" w:evenHBand="0" w:firstRowFirstColumn="0" w:firstRowLastColumn="0" w:lastRowFirstColumn="0" w:lastRowLastColumn="0"/>
            <w:tcW w:w="1355" w:type="dxa"/>
            <w:vAlign w:val="center"/>
          </w:tcPr>
          <w:p w14:paraId="60534018" w14:textId="77777777" w:rsidR="003D5A61" w:rsidRPr="00AD342A" w:rsidRDefault="003D5A61" w:rsidP="003D5A61">
            <w:pPr>
              <w:keepNext/>
              <w:spacing w:after="120"/>
              <w:rPr>
                <w:b w:val="0"/>
                <w:bCs w:val="0"/>
              </w:rPr>
            </w:pPr>
            <w:r>
              <w:rPr>
                <w:b w:val="0"/>
                <w:bCs w:val="0"/>
              </w:rPr>
              <w:t>Islands Thames-Coromandel District</w:t>
            </w:r>
          </w:p>
        </w:tc>
        <w:tc>
          <w:tcPr>
            <w:tcW w:w="1554" w:type="dxa"/>
            <w:vAlign w:val="center"/>
          </w:tcPr>
          <w:p w14:paraId="74CED193" w14:textId="77777777" w:rsidR="003D5A61" w:rsidRPr="00AD342A" w:rsidRDefault="003D5A61" w:rsidP="003D5A61">
            <w:pPr>
              <w:keepNext/>
              <w:spacing w:after="120"/>
              <w:cnfStyle w:val="000000000000" w:firstRow="0" w:lastRow="0" w:firstColumn="0" w:lastColumn="0" w:oddVBand="0" w:evenVBand="0" w:oddHBand="0" w:evenHBand="0" w:firstRowFirstColumn="0" w:firstRowLastColumn="0" w:lastRowFirstColumn="0" w:lastRowLastColumn="0"/>
            </w:pPr>
            <w:r>
              <w:t>Thames-Coromandel District</w:t>
            </w:r>
          </w:p>
        </w:tc>
        <w:tc>
          <w:tcPr>
            <w:tcW w:w="1102" w:type="dxa"/>
            <w:vAlign w:val="center"/>
          </w:tcPr>
          <w:p w14:paraId="3D4AF415" w14:textId="77777777" w:rsidR="003D5A61" w:rsidRPr="00AD342A" w:rsidRDefault="003D5A61" w:rsidP="003D5A61">
            <w:pPr>
              <w:keepNext/>
              <w:spacing w:after="120"/>
              <w:jc w:val="right"/>
              <w:cnfStyle w:val="000000000000" w:firstRow="0" w:lastRow="0" w:firstColumn="0" w:lastColumn="0" w:oddVBand="0" w:evenVBand="0" w:oddHBand="0" w:evenHBand="0" w:firstRowFirstColumn="0" w:firstRowLastColumn="0" w:lastRowFirstColumn="0" w:lastRowLastColumn="0"/>
            </w:pPr>
            <w:r>
              <w:t>13.9</w:t>
            </w:r>
          </w:p>
        </w:tc>
        <w:tc>
          <w:tcPr>
            <w:tcW w:w="1077" w:type="dxa"/>
            <w:vAlign w:val="center"/>
          </w:tcPr>
          <w:p w14:paraId="7F8290E2" w14:textId="77777777" w:rsidR="003D5A61" w:rsidRPr="00AD342A" w:rsidRDefault="003D5A61" w:rsidP="003D5A61">
            <w:pPr>
              <w:keepNext/>
              <w:spacing w:after="120"/>
              <w:jc w:val="right"/>
              <w:cnfStyle w:val="000000000000" w:firstRow="0" w:lastRow="0" w:firstColumn="0" w:lastColumn="0" w:oddVBand="0" w:evenVBand="0" w:oddHBand="0" w:evenHBand="0" w:firstRowFirstColumn="0" w:firstRowLastColumn="0" w:lastRowFirstColumn="0" w:lastRowLastColumn="0"/>
            </w:pPr>
            <w:r>
              <w:t>10</w:t>
            </w:r>
          </w:p>
        </w:tc>
        <w:tc>
          <w:tcPr>
            <w:tcW w:w="1570" w:type="dxa"/>
            <w:vAlign w:val="center"/>
          </w:tcPr>
          <w:p w14:paraId="4EFD2456" w14:textId="77777777" w:rsidR="003D5A61" w:rsidRPr="00AD342A" w:rsidRDefault="003D5A61" w:rsidP="003D5A61">
            <w:pPr>
              <w:keepNext/>
              <w:spacing w:after="120"/>
              <w:jc w:val="right"/>
              <w:cnfStyle w:val="000000000000" w:firstRow="0" w:lastRow="0" w:firstColumn="0" w:lastColumn="0" w:oddVBand="0" w:evenVBand="0" w:oddHBand="0" w:evenHBand="0" w:firstRowFirstColumn="0" w:firstRowLastColumn="0" w:lastRowFirstColumn="0" w:lastRowLastColumn="0"/>
            </w:pPr>
            <w:r>
              <w:t>-1.61%</w:t>
            </w:r>
          </w:p>
        </w:tc>
        <w:tc>
          <w:tcPr>
            <w:tcW w:w="1134" w:type="dxa"/>
            <w:vAlign w:val="center"/>
          </w:tcPr>
          <w:p w14:paraId="6067E95B" w14:textId="77777777" w:rsidR="003D5A61" w:rsidRPr="00AD342A" w:rsidRDefault="003D5A61" w:rsidP="003D5A61">
            <w:pPr>
              <w:keepNext/>
              <w:spacing w:after="120"/>
              <w:jc w:val="right"/>
              <w:cnfStyle w:val="000000000000" w:firstRow="0" w:lastRow="0" w:firstColumn="0" w:lastColumn="0" w:oddVBand="0" w:evenVBand="0" w:oddHBand="0" w:evenHBand="0" w:firstRowFirstColumn="0" w:firstRowLastColumn="0" w:lastRowFirstColumn="0" w:lastRowLastColumn="0"/>
            </w:pPr>
            <w:r>
              <w:t>10</w:t>
            </w:r>
          </w:p>
        </w:tc>
        <w:tc>
          <w:tcPr>
            <w:tcW w:w="1559" w:type="dxa"/>
            <w:vAlign w:val="center"/>
          </w:tcPr>
          <w:p w14:paraId="0D703A67" w14:textId="77777777" w:rsidR="003D5A61" w:rsidRPr="00AD342A" w:rsidRDefault="003D5A61" w:rsidP="003D5A61">
            <w:pPr>
              <w:keepNext/>
              <w:spacing w:after="120"/>
              <w:jc w:val="right"/>
              <w:cnfStyle w:val="000000000000" w:firstRow="0" w:lastRow="0" w:firstColumn="0" w:lastColumn="0" w:oddVBand="0" w:evenVBand="0" w:oddHBand="0" w:evenHBand="0" w:firstRowFirstColumn="0" w:firstRowLastColumn="0" w:lastRowFirstColumn="0" w:lastRowLastColumn="0"/>
            </w:pPr>
            <w:r>
              <w:t>-0.65%</w:t>
            </w:r>
          </w:p>
        </w:tc>
      </w:tr>
      <w:tr w:rsidR="003D5A61" w14:paraId="3A6FF1A5" w14:textId="77777777" w:rsidTr="003D5A61">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355" w:type="dxa"/>
            <w:vAlign w:val="center"/>
          </w:tcPr>
          <w:p w14:paraId="50713AB5" w14:textId="77777777" w:rsidR="003D5A61" w:rsidRPr="00AD342A" w:rsidRDefault="003D5A61" w:rsidP="003D5A61">
            <w:pPr>
              <w:keepNext/>
              <w:spacing w:after="120"/>
              <w:rPr>
                <w:b w:val="0"/>
                <w:bCs w:val="0"/>
              </w:rPr>
            </w:pPr>
            <w:r>
              <w:rPr>
                <w:b w:val="0"/>
                <w:bCs w:val="0"/>
              </w:rPr>
              <w:t>Ngakuru</w:t>
            </w:r>
          </w:p>
        </w:tc>
        <w:tc>
          <w:tcPr>
            <w:tcW w:w="1554" w:type="dxa"/>
            <w:vAlign w:val="center"/>
          </w:tcPr>
          <w:p w14:paraId="22E60766" w14:textId="77777777" w:rsidR="003D5A61" w:rsidRPr="00AD342A" w:rsidRDefault="003D5A61" w:rsidP="003D5A61">
            <w:pPr>
              <w:keepNext/>
              <w:spacing w:after="120"/>
              <w:cnfStyle w:val="000000100000" w:firstRow="0" w:lastRow="0" w:firstColumn="0" w:lastColumn="0" w:oddVBand="0" w:evenVBand="0" w:oddHBand="1" w:evenHBand="0" w:firstRowFirstColumn="0" w:firstRowLastColumn="0" w:lastRowFirstColumn="0" w:lastRowLastColumn="0"/>
            </w:pPr>
            <w:r>
              <w:t>Rotorua District</w:t>
            </w:r>
          </w:p>
        </w:tc>
        <w:tc>
          <w:tcPr>
            <w:tcW w:w="1102" w:type="dxa"/>
            <w:vAlign w:val="center"/>
          </w:tcPr>
          <w:p w14:paraId="6DB69F21" w14:textId="77777777" w:rsidR="003D5A61" w:rsidRPr="00AD342A" w:rsidRDefault="003D5A61" w:rsidP="003D5A61">
            <w:pPr>
              <w:keepNext/>
              <w:spacing w:after="120"/>
              <w:jc w:val="right"/>
              <w:cnfStyle w:val="000000100000" w:firstRow="0" w:lastRow="0" w:firstColumn="0" w:lastColumn="0" w:oddVBand="0" w:evenVBand="0" w:oddHBand="1" w:evenHBand="0" w:firstRowFirstColumn="0" w:firstRowLastColumn="0" w:lastRowFirstColumn="0" w:lastRowLastColumn="0"/>
            </w:pPr>
            <w:r>
              <w:t>788</w:t>
            </w:r>
          </w:p>
        </w:tc>
        <w:tc>
          <w:tcPr>
            <w:tcW w:w="1077" w:type="dxa"/>
            <w:vAlign w:val="center"/>
          </w:tcPr>
          <w:p w14:paraId="1203B558" w14:textId="77777777" w:rsidR="003D5A61" w:rsidRPr="00AD342A" w:rsidRDefault="003D5A61" w:rsidP="003D5A61">
            <w:pPr>
              <w:keepNext/>
              <w:spacing w:after="120"/>
              <w:jc w:val="right"/>
              <w:cnfStyle w:val="000000100000" w:firstRow="0" w:lastRow="0" w:firstColumn="0" w:lastColumn="0" w:oddVBand="0" w:evenVBand="0" w:oddHBand="1" w:evenHBand="0" w:firstRowFirstColumn="0" w:firstRowLastColumn="0" w:lastRowFirstColumn="0" w:lastRowLastColumn="0"/>
            </w:pPr>
            <w:r>
              <w:t>691</w:t>
            </w:r>
          </w:p>
        </w:tc>
        <w:tc>
          <w:tcPr>
            <w:tcW w:w="1570" w:type="dxa"/>
            <w:vAlign w:val="center"/>
          </w:tcPr>
          <w:p w14:paraId="3350AA4A" w14:textId="77777777" w:rsidR="003D5A61" w:rsidRPr="00AD342A" w:rsidRDefault="003D5A61" w:rsidP="003D5A61">
            <w:pPr>
              <w:keepNext/>
              <w:spacing w:after="120"/>
              <w:jc w:val="right"/>
              <w:cnfStyle w:val="000000100000" w:firstRow="0" w:lastRow="0" w:firstColumn="0" w:lastColumn="0" w:oddVBand="0" w:evenVBand="0" w:oddHBand="1" w:evenHBand="0" w:firstRowFirstColumn="0" w:firstRowLastColumn="0" w:lastRowFirstColumn="0" w:lastRowLastColumn="0"/>
            </w:pPr>
            <w:r>
              <w:t>-0.66%</w:t>
            </w:r>
          </w:p>
        </w:tc>
        <w:tc>
          <w:tcPr>
            <w:tcW w:w="1134" w:type="dxa"/>
            <w:vAlign w:val="center"/>
          </w:tcPr>
          <w:p w14:paraId="38A1B100" w14:textId="77777777" w:rsidR="003D5A61" w:rsidRPr="00AD342A" w:rsidRDefault="003D5A61" w:rsidP="003D5A61">
            <w:pPr>
              <w:keepNext/>
              <w:spacing w:after="120"/>
              <w:jc w:val="right"/>
              <w:cnfStyle w:val="000000100000" w:firstRow="0" w:lastRow="0" w:firstColumn="0" w:lastColumn="0" w:oddVBand="0" w:evenVBand="0" w:oddHBand="1" w:evenHBand="0" w:firstRowFirstColumn="0" w:firstRowLastColumn="0" w:lastRowFirstColumn="0" w:lastRowLastColumn="0"/>
            </w:pPr>
            <w:r>
              <w:t>691</w:t>
            </w:r>
          </w:p>
        </w:tc>
        <w:tc>
          <w:tcPr>
            <w:tcW w:w="1559" w:type="dxa"/>
            <w:vAlign w:val="center"/>
          </w:tcPr>
          <w:p w14:paraId="2E1017DB" w14:textId="77777777" w:rsidR="003D5A61" w:rsidRPr="00AD342A" w:rsidRDefault="003D5A61" w:rsidP="003D5A61">
            <w:pPr>
              <w:keepNext/>
              <w:spacing w:after="120"/>
              <w:jc w:val="right"/>
              <w:cnfStyle w:val="000000100000" w:firstRow="0" w:lastRow="0" w:firstColumn="0" w:lastColumn="0" w:oddVBand="0" w:evenVBand="0" w:oddHBand="1" w:evenHBand="0" w:firstRowFirstColumn="0" w:firstRowLastColumn="0" w:lastRowFirstColumn="0" w:lastRowLastColumn="0"/>
            </w:pPr>
            <w:r>
              <w:t>-0.26%</w:t>
            </w:r>
          </w:p>
        </w:tc>
      </w:tr>
      <w:tr w:rsidR="003D5A61" w14:paraId="716ED4FA" w14:textId="77777777" w:rsidTr="003D5A61">
        <w:trPr>
          <w:trHeight w:val="64"/>
        </w:trPr>
        <w:tc>
          <w:tcPr>
            <w:cnfStyle w:val="001000000000" w:firstRow="0" w:lastRow="0" w:firstColumn="1" w:lastColumn="0" w:oddVBand="0" w:evenVBand="0" w:oddHBand="0" w:evenHBand="0" w:firstRowFirstColumn="0" w:firstRowLastColumn="0" w:lastRowFirstColumn="0" w:lastRowLastColumn="0"/>
            <w:tcW w:w="1355" w:type="dxa"/>
            <w:vAlign w:val="center"/>
          </w:tcPr>
          <w:p w14:paraId="73960C8C" w14:textId="77777777" w:rsidR="003D5A61" w:rsidRPr="00AD342A" w:rsidRDefault="003D5A61" w:rsidP="003D5A61">
            <w:pPr>
              <w:keepNext/>
              <w:spacing w:after="120"/>
              <w:rPr>
                <w:b w:val="0"/>
                <w:bCs w:val="0"/>
              </w:rPr>
            </w:pPr>
            <w:r w:rsidRPr="00AD342A">
              <w:rPr>
                <w:b w:val="0"/>
                <w:bCs w:val="0"/>
              </w:rPr>
              <w:t>Hauraki Plains North</w:t>
            </w:r>
          </w:p>
        </w:tc>
        <w:tc>
          <w:tcPr>
            <w:tcW w:w="1554" w:type="dxa"/>
            <w:vAlign w:val="center"/>
          </w:tcPr>
          <w:p w14:paraId="5E6C4D3F" w14:textId="77777777" w:rsidR="003D5A61" w:rsidRPr="00AD342A" w:rsidRDefault="003D5A61" w:rsidP="003D5A61">
            <w:pPr>
              <w:keepNext/>
              <w:spacing w:after="120"/>
              <w:cnfStyle w:val="000000000000" w:firstRow="0" w:lastRow="0" w:firstColumn="0" w:lastColumn="0" w:oddVBand="0" w:evenVBand="0" w:oddHBand="0" w:evenHBand="0" w:firstRowFirstColumn="0" w:firstRowLastColumn="0" w:lastRowFirstColumn="0" w:lastRowLastColumn="0"/>
            </w:pPr>
            <w:r w:rsidRPr="00AD342A">
              <w:t>Hauraki</w:t>
            </w:r>
            <w:r>
              <w:t xml:space="preserve"> District</w:t>
            </w:r>
          </w:p>
        </w:tc>
        <w:tc>
          <w:tcPr>
            <w:tcW w:w="1102" w:type="dxa"/>
            <w:vAlign w:val="center"/>
          </w:tcPr>
          <w:p w14:paraId="7BDC436C" w14:textId="77777777" w:rsidR="003D5A61" w:rsidRPr="00AD342A" w:rsidRDefault="003D5A61" w:rsidP="003D5A61">
            <w:pPr>
              <w:keepNext/>
              <w:spacing w:after="120"/>
              <w:jc w:val="right"/>
              <w:cnfStyle w:val="000000000000" w:firstRow="0" w:lastRow="0" w:firstColumn="0" w:lastColumn="0" w:oddVBand="0" w:evenVBand="0" w:oddHBand="0" w:evenHBand="0" w:firstRowFirstColumn="0" w:firstRowLastColumn="0" w:lastRowFirstColumn="0" w:lastRowLastColumn="0"/>
            </w:pPr>
            <w:r>
              <w:t>459</w:t>
            </w:r>
          </w:p>
        </w:tc>
        <w:tc>
          <w:tcPr>
            <w:tcW w:w="1077" w:type="dxa"/>
            <w:vAlign w:val="center"/>
          </w:tcPr>
          <w:p w14:paraId="4C1388C2" w14:textId="77777777" w:rsidR="003D5A61" w:rsidRPr="00AD342A" w:rsidRDefault="003D5A61" w:rsidP="003D5A61">
            <w:pPr>
              <w:keepNext/>
              <w:spacing w:after="120"/>
              <w:jc w:val="right"/>
              <w:cnfStyle w:val="000000000000" w:firstRow="0" w:lastRow="0" w:firstColumn="0" w:lastColumn="0" w:oddVBand="0" w:evenVBand="0" w:oddHBand="0" w:evenHBand="0" w:firstRowFirstColumn="0" w:firstRowLastColumn="0" w:lastRowFirstColumn="0" w:lastRowLastColumn="0"/>
            </w:pPr>
            <w:r>
              <w:t>382</w:t>
            </w:r>
          </w:p>
        </w:tc>
        <w:tc>
          <w:tcPr>
            <w:tcW w:w="1570" w:type="dxa"/>
            <w:vAlign w:val="center"/>
          </w:tcPr>
          <w:p w14:paraId="24726481" w14:textId="77777777" w:rsidR="003D5A61" w:rsidRPr="00AD342A" w:rsidRDefault="003D5A61" w:rsidP="003D5A61">
            <w:pPr>
              <w:keepNext/>
              <w:spacing w:after="120"/>
              <w:jc w:val="right"/>
              <w:cnfStyle w:val="000000000000" w:firstRow="0" w:lastRow="0" w:firstColumn="0" w:lastColumn="0" w:oddVBand="0" w:evenVBand="0" w:oddHBand="0" w:evenHBand="0" w:firstRowFirstColumn="0" w:firstRowLastColumn="0" w:lastRowFirstColumn="0" w:lastRowLastColumn="0"/>
            </w:pPr>
            <w:r>
              <w:t>-0.91%</w:t>
            </w:r>
          </w:p>
        </w:tc>
        <w:tc>
          <w:tcPr>
            <w:tcW w:w="1134" w:type="dxa"/>
            <w:vAlign w:val="center"/>
          </w:tcPr>
          <w:p w14:paraId="53865D2A" w14:textId="77777777" w:rsidR="003D5A61" w:rsidRPr="00AD342A" w:rsidRDefault="003D5A61" w:rsidP="003D5A61">
            <w:pPr>
              <w:keepNext/>
              <w:spacing w:after="120"/>
              <w:jc w:val="right"/>
              <w:cnfStyle w:val="000000000000" w:firstRow="0" w:lastRow="0" w:firstColumn="0" w:lastColumn="0" w:oddVBand="0" w:evenVBand="0" w:oddHBand="0" w:evenHBand="0" w:firstRowFirstColumn="0" w:firstRowLastColumn="0" w:lastRowFirstColumn="0" w:lastRowLastColumn="0"/>
            </w:pPr>
            <w:r>
              <w:t>406</w:t>
            </w:r>
          </w:p>
        </w:tc>
        <w:tc>
          <w:tcPr>
            <w:tcW w:w="1559" w:type="dxa"/>
            <w:vAlign w:val="center"/>
          </w:tcPr>
          <w:p w14:paraId="64B0E5DA" w14:textId="77777777" w:rsidR="003D5A61" w:rsidRPr="00AD342A" w:rsidRDefault="003D5A61" w:rsidP="003D5A61">
            <w:pPr>
              <w:keepNext/>
              <w:spacing w:after="120"/>
              <w:jc w:val="right"/>
              <w:cnfStyle w:val="000000000000" w:firstRow="0" w:lastRow="0" w:firstColumn="0" w:lastColumn="0" w:oddVBand="0" w:evenVBand="0" w:oddHBand="0" w:evenHBand="0" w:firstRowFirstColumn="0" w:firstRowLastColumn="0" w:lastRowFirstColumn="0" w:lastRowLastColumn="0"/>
            </w:pPr>
            <w:r>
              <w:t>-0.24%</w:t>
            </w:r>
          </w:p>
        </w:tc>
      </w:tr>
      <w:tr w:rsidR="003D5A61" w14:paraId="575769BC" w14:textId="77777777" w:rsidTr="003D5A61">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1355" w:type="dxa"/>
            <w:vAlign w:val="center"/>
          </w:tcPr>
          <w:p w14:paraId="43ED7388" w14:textId="77777777" w:rsidR="003D5A61" w:rsidRPr="00AD342A" w:rsidRDefault="003D5A61" w:rsidP="003D5A61">
            <w:pPr>
              <w:keepNext/>
              <w:spacing w:after="120"/>
              <w:rPr>
                <w:b w:val="0"/>
                <w:bCs w:val="0"/>
              </w:rPr>
            </w:pPr>
            <w:r>
              <w:rPr>
                <w:b w:val="0"/>
                <w:bCs w:val="0"/>
              </w:rPr>
              <w:t>Marotiri</w:t>
            </w:r>
          </w:p>
        </w:tc>
        <w:tc>
          <w:tcPr>
            <w:tcW w:w="1554" w:type="dxa"/>
            <w:vAlign w:val="center"/>
          </w:tcPr>
          <w:p w14:paraId="0775F3DD" w14:textId="77777777" w:rsidR="003D5A61" w:rsidRPr="00AD342A" w:rsidRDefault="003D5A61" w:rsidP="003D5A61">
            <w:pPr>
              <w:keepNext/>
              <w:spacing w:after="120"/>
              <w:cnfStyle w:val="000000100000" w:firstRow="0" w:lastRow="0" w:firstColumn="0" w:lastColumn="0" w:oddVBand="0" w:evenVBand="0" w:oddHBand="1" w:evenHBand="0" w:firstRowFirstColumn="0" w:firstRowLastColumn="0" w:lastRowFirstColumn="0" w:lastRowLastColumn="0"/>
            </w:pPr>
            <w:r w:rsidRPr="00113B7E">
              <w:t>Taupō District</w:t>
            </w:r>
          </w:p>
        </w:tc>
        <w:tc>
          <w:tcPr>
            <w:tcW w:w="1102" w:type="dxa"/>
            <w:vAlign w:val="center"/>
          </w:tcPr>
          <w:p w14:paraId="53191563" w14:textId="77777777" w:rsidR="003D5A61" w:rsidRPr="00AD342A" w:rsidRDefault="003D5A61" w:rsidP="003D5A61">
            <w:pPr>
              <w:keepNext/>
              <w:spacing w:after="120"/>
              <w:jc w:val="right"/>
              <w:cnfStyle w:val="000000100000" w:firstRow="0" w:lastRow="0" w:firstColumn="0" w:lastColumn="0" w:oddVBand="0" w:evenVBand="0" w:oddHBand="1" w:evenHBand="0" w:firstRowFirstColumn="0" w:firstRowLastColumn="0" w:lastRowFirstColumn="0" w:lastRowLastColumn="0"/>
            </w:pPr>
            <w:r>
              <w:t>1,175</w:t>
            </w:r>
          </w:p>
        </w:tc>
        <w:tc>
          <w:tcPr>
            <w:tcW w:w="1077" w:type="dxa"/>
            <w:vAlign w:val="center"/>
          </w:tcPr>
          <w:p w14:paraId="04566856" w14:textId="77777777" w:rsidR="003D5A61" w:rsidRPr="00AD342A" w:rsidRDefault="003D5A61" w:rsidP="003D5A61">
            <w:pPr>
              <w:keepNext/>
              <w:spacing w:after="120"/>
              <w:jc w:val="right"/>
              <w:cnfStyle w:val="000000100000" w:firstRow="0" w:lastRow="0" w:firstColumn="0" w:lastColumn="0" w:oddVBand="0" w:evenVBand="0" w:oddHBand="1" w:evenHBand="0" w:firstRowFirstColumn="0" w:firstRowLastColumn="0" w:lastRowFirstColumn="0" w:lastRowLastColumn="0"/>
            </w:pPr>
            <w:r>
              <w:t>1,187</w:t>
            </w:r>
          </w:p>
        </w:tc>
        <w:tc>
          <w:tcPr>
            <w:tcW w:w="1570" w:type="dxa"/>
            <w:vAlign w:val="center"/>
          </w:tcPr>
          <w:p w14:paraId="01ED57E7" w14:textId="77777777" w:rsidR="003D5A61" w:rsidRPr="00AD342A" w:rsidRDefault="003D5A61" w:rsidP="003D5A61">
            <w:pPr>
              <w:keepNext/>
              <w:spacing w:after="120"/>
              <w:jc w:val="right"/>
              <w:cnfStyle w:val="000000100000" w:firstRow="0" w:lastRow="0" w:firstColumn="0" w:lastColumn="0" w:oddVBand="0" w:evenVBand="0" w:oddHBand="1" w:evenHBand="0" w:firstRowFirstColumn="0" w:firstRowLastColumn="0" w:lastRowFirstColumn="0" w:lastRowLastColumn="0"/>
            </w:pPr>
            <w:r>
              <w:t>0.05%</w:t>
            </w:r>
          </w:p>
        </w:tc>
        <w:tc>
          <w:tcPr>
            <w:tcW w:w="1134" w:type="dxa"/>
            <w:vAlign w:val="center"/>
          </w:tcPr>
          <w:p w14:paraId="0951F64A" w14:textId="77777777" w:rsidR="003D5A61" w:rsidRPr="00AD342A" w:rsidRDefault="003D5A61" w:rsidP="003D5A61">
            <w:pPr>
              <w:keepNext/>
              <w:spacing w:after="120"/>
              <w:jc w:val="right"/>
              <w:cnfStyle w:val="000000100000" w:firstRow="0" w:lastRow="0" w:firstColumn="0" w:lastColumn="0" w:oddVBand="0" w:evenVBand="0" w:oddHBand="1" w:evenHBand="0" w:firstRowFirstColumn="0" w:firstRowLastColumn="0" w:lastRowFirstColumn="0" w:lastRowLastColumn="0"/>
            </w:pPr>
            <w:r>
              <w:t>1,128</w:t>
            </w:r>
          </w:p>
        </w:tc>
        <w:tc>
          <w:tcPr>
            <w:tcW w:w="1559" w:type="dxa"/>
            <w:vAlign w:val="center"/>
          </w:tcPr>
          <w:p w14:paraId="28621F4C" w14:textId="77777777" w:rsidR="003D5A61" w:rsidRPr="00AD342A" w:rsidRDefault="003D5A61" w:rsidP="003D5A61">
            <w:pPr>
              <w:keepNext/>
              <w:spacing w:after="120"/>
              <w:jc w:val="right"/>
              <w:cnfStyle w:val="000000100000" w:firstRow="0" w:lastRow="0" w:firstColumn="0" w:lastColumn="0" w:oddVBand="0" w:evenVBand="0" w:oddHBand="1" w:evenHBand="0" w:firstRowFirstColumn="0" w:firstRowLastColumn="0" w:lastRowFirstColumn="0" w:lastRowLastColumn="0"/>
            </w:pPr>
            <w:r>
              <w:t>-0.08%</w:t>
            </w:r>
          </w:p>
        </w:tc>
      </w:tr>
      <w:tr w:rsidR="003D5A61" w14:paraId="09E6BB6E" w14:textId="77777777" w:rsidTr="003D5A61">
        <w:trPr>
          <w:trHeight w:val="64"/>
        </w:trPr>
        <w:tc>
          <w:tcPr>
            <w:cnfStyle w:val="001000000000" w:firstRow="0" w:lastRow="0" w:firstColumn="1" w:lastColumn="0" w:oddVBand="0" w:evenVBand="0" w:oddHBand="0" w:evenHBand="0" w:firstRowFirstColumn="0" w:firstRowLastColumn="0" w:lastRowFirstColumn="0" w:lastRowLastColumn="0"/>
            <w:tcW w:w="1355" w:type="dxa"/>
            <w:vAlign w:val="center"/>
          </w:tcPr>
          <w:p w14:paraId="4F8038A9" w14:textId="77777777" w:rsidR="003D5A61" w:rsidRPr="00AD342A" w:rsidRDefault="003D5A61" w:rsidP="003D5A61">
            <w:pPr>
              <w:keepNext/>
              <w:spacing w:after="120"/>
              <w:rPr>
                <w:b w:val="0"/>
                <w:bCs w:val="0"/>
              </w:rPr>
            </w:pPr>
            <w:r>
              <w:rPr>
                <w:b w:val="0"/>
                <w:bCs w:val="0"/>
              </w:rPr>
              <w:t>Maihiihi</w:t>
            </w:r>
          </w:p>
        </w:tc>
        <w:tc>
          <w:tcPr>
            <w:tcW w:w="1554" w:type="dxa"/>
            <w:vAlign w:val="center"/>
          </w:tcPr>
          <w:p w14:paraId="050A8803" w14:textId="77777777" w:rsidR="003D5A61" w:rsidRPr="00AD342A" w:rsidRDefault="003D5A61" w:rsidP="003D5A61">
            <w:pPr>
              <w:keepNext/>
              <w:spacing w:after="120"/>
              <w:cnfStyle w:val="000000000000" w:firstRow="0" w:lastRow="0" w:firstColumn="0" w:lastColumn="0" w:oddVBand="0" w:evenVBand="0" w:oddHBand="0" w:evenHBand="0" w:firstRowFirstColumn="0" w:firstRowLastColumn="0" w:lastRowFirstColumn="0" w:lastRowLastColumn="0"/>
            </w:pPr>
            <w:r w:rsidRPr="00113B7E">
              <w:t>Ōtorohanga District</w:t>
            </w:r>
          </w:p>
        </w:tc>
        <w:tc>
          <w:tcPr>
            <w:tcW w:w="1102" w:type="dxa"/>
            <w:vAlign w:val="center"/>
          </w:tcPr>
          <w:p w14:paraId="00107BB0" w14:textId="77777777" w:rsidR="003D5A61" w:rsidRPr="00AD342A" w:rsidRDefault="003D5A61" w:rsidP="003D5A61">
            <w:pPr>
              <w:keepNext/>
              <w:spacing w:after="120"/>
              <w:jc w:val="right"/>
              <w:cnfStyle w:val="000000000000" w:firstRow="0" w:lastRow="0" w:firstColumn="0" w:lastColumn="0" w:oddVBand="0" w:evenVBand="0" w:oddHBand="0" w:evenHBand="0" w:firstRowFirstColumn="0" w:firstRowLastColumn="0" w:lastRowFirstColumn="0" w:lastRowLastColumn="0"/>
            </w:pPr>
            <w:r>
              <w:t>827</w:t>
            </w:r>
          </w:p>
        </w:tc>
        <w:tc>
          <w:tcPr>
            <w:tcW w:w="1077" w:type="dxa"/>
            <w:vAlign w:val="center"/>
          </w:tcPr>
          <w:p w14:paraId="1365C2F1" w14:textId="77777777" w:rsidR="003D5A61" w:rsidRPr="00AD342A" w:rsidRDefault="003D5A61" w:rsidP="003D5A61">
            <w:pPr>
              <w:keepNext/>
              <w:spacing w:after="120"/>
              <w:jc w:val="right"/>
              <w:cnfStyle w:val="000000000000" w:firstRow="0" w:lastRow="0" w:firstColumn="0" w:lastColumn="0" w:oddVBand="0" w:evenVBand="0" w:oddHBand="0" w:evenHBand="0" w:firstRowFirstColumn="0" w:firstRowLastColumn="0" w:lastRowFirstColumn="0" w:lastRowLastColumn="0"/>
            </w:pPr>
            <w:r>
              <w:t>835</w:t>
            </w:r>
          </w:p>
        </w:tc>
        <w:tc>
          <w:tcPr>
            <w:tcW w:w="1570" w:type="dxa"/>
            <w:vAlign w:val="center"/>
          </w:tcPr>
          <w:p w14:paraId="41F44D47" w14:textId="77777777" w:rsidR="003D5A61" w:rsidRPr="00AD342A" w:rsidRDefault="003D5A61" w:rsidP="003D5A61">
            <w:pPr>
              <w:keepNext/>
              <w:spacing w:after="120"/>
              <w:jc w:val="right"/>
              <w:cnfStyle w:val="000000000000" w:firstRow="0" w:lastRow="0" w:firstColumn="0" w:lastColumn="0" w:oddVBand="0" w:evenVBand="0" w:oddHBand="0" w:evenHBand="0" w:firstRowFirstColumn="0" w:firstRowLastColumn="0" w:lastRowFirstColumn="0" w:lastRowLastColumn="0"/>
            </w:pPr>
            <w:r>
              <w:t>0.05%</w:t>
            </w:r>
          </w:p>
        </w:tc>
        <w:tc>
          <w:tcPr>
            <w:tcW w:w="1134" w:type="dxa"/>
            <w:vAlign w:val="center"/>
          </w:tcPr>
          <w:p w14:paraId="544566FD" w14:textId="77777777" w:rsidR="003D5A61" w:rsidRPr="00AD342A" w:rsidRDefault="003D5A61" w:rsidP="003D5A61">
            <w:pPr>
              <w:keepNext/>
              <w:spacing w:after="120"/>
              <w:jc w:val="right"/>
              <w:cnfStyle w:val="000000000000" w:firstRow="0" w:lastRow="0" w:firstColumn="0" w:lastColumn="0" w:oddVBand="0" w:evenVBand="0" w:oddHBand="0" w:evenHBand="0" w:firstRowFirstColumn="0" w:firstRowLastColumn="0" w:lastRowFirstColumn="0" w:lastRowLastColumn="0"/>
            </w:pPr>
            <w:r>
              <w:t>797</w:t>
            </w:r>
          </w:p>
        </w:tc>
        <w:tc>
          <w:tcPr>
            <w:tcW w:w="1559" w:type="dxa"/>
            <w:vAlign w:val="center"/>
          </w:tcPr>
          <w:p w14:paraId="058CE981" w14:textId="77777777" w:rsidR="003D5A61" w:rsidRPr="00AD342A" w:rsidRDefault="003D5A61" w:rsidP="003D5A61">
            <w:pPr>
              <w:keepNext/>
              <w:spacing w:after="120"/>
              <w:jc w:val="right"/>
              <w:cnfStyle w:val="000000000000" w:firstRow="0" w:lastRow="0" w:firstColumn="0" w:lastColumn="0" w:oddVBand="0" w:evenVBand="0" w:oddHBand="0" w:evenHBand="0" w:firstRowFirstColumn="0" w:firstRowLastColumn="0" w:lastRowFirstColumn="0" w:lastRowLastColumn="0"/>
            </w:pPr>
            <w:r>
              <w:t>-0.07%</w:t>
            </w:r>
          </w:p>
        </w:tc>
      </w:tr>
    </w:tbl>
    <w:p w14:paraId="73B11BF6" w14:textId="77777777" w:rsidR="003D5A61" w:rsidRDefault="003D5A61" w:rsidP="003D5A61">
      <w:pPr>
        <w:rPr>
          <w:b/>
          <w:noProof/>
        </w:rPr>
      </w:pPr>
    </w:p>
    <w:p w14:paraId="6C8AA4A0" w14:textId="77777777" w:rsidR="003D5A61" w:rsidRDefault="003D5A61" w:rsidP="003D5A61">
      <w:pPr>
        <w:pStyle w:val="Heading1"/>
      </w:pPr>
      <w:bookmarkStart w:id="36" w:name="_Toc70694902"/>
      <w:r>
        <w:lastRenderedPageBreak/>
        <w:t>Conclusion</w:t>
      </w:r>
      <w:bookmarkEnd w:id="36"/>
    </w:p>
    <w:p w14:paraId="1204DDA2" w14:textId="73E270BA" w:rsidR="003D5A61" w:rsidRDefault="003D5A61" w:rsidP="006475DF">
      <w:r>
        <w:t xml:space="preserve">This modelling exercise has projected changes in </w:t>
      </w:r>
      <w:r w:rsidR="00D51C2C">
        <w:t xml:space="preserve">key </w:t>
      </w:r>
      <w:r>
        <w:t xml:space="preserve">economic indicators </w:t>
      </w:r>
      <w:r w:rsidR="00D51C2C">
        <w:t xml:space="preserve">of employment and value added </w:t>
      </w:r>
      <w:r>
        <w:t xml:space="preserve">within </w:t>
      </w:r>
      <w:r w:rsidR="00D51C2C">
        <w:t xml:space="preserve">the </w:t>
      </w:r>
      <w:r>
        <w:t xml:space="preserve">Waikato Region, at a very detailed spatial and industry level. Specifically, employment and value added for over </w:t>
      </w:r>
      <w:r w:rsidR="00D51C2C">
        <w:t>240</w:t>
      </w:r>
      <w:r>
        <w:t xml:space="preserve"> SA2s and </w:t>
      </w:r>
      <w:r w:rsidR="0072150F">
        <w:t>19</w:t>
      </w:r>
      <w:r>
        <w:t xml:space="preserve"> industries has been generated. This provides unprecedented information for exploration of economic futures for Waikato Region. Patterns of industry and spatial change can be investigated across the whole region, as well as changes in economic structure within the SA2s themselves. Although the modelling generally forecasts growth across the region, there are some areas that will face contraction of specific industries. There are also some significant changes projected for the structure of economies at a local level.</w:t>
      </w:r>
    </w:p>
    <w:sectPr w:rsidR="003D5A61" w:rsidSect="003D5A61">
      <w:headerReference w:type="default" r:id="rId48"/>
      <w:footerReference w:type="default" r:id="rId4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403502" w14:textId="77777777" w:rsidR="00BA2895" w:rsidRDefault="00BA2895" w:rsidP="0083201B">
      <w:r>
        <w:separator/>
      </w:r>
    </w:p>
    <w:p w14:paraId="153E44CE" w14:textId="77777777" w:rsidR="00BA2895" w:rsidRDefault="00BA2895" w:rsidP="0083201B"/>
    <w:p w14:paraId="10E23EDC" w14:textId="77777777" w:rsidR="00BA2895" w:rsidRDefault="00BA2895" w:rsidP="0083201B"/>
  </w:endnote>
  <w:endnote w:type="continuationSeparator" w:id="0">
    <w:p w14:paraId="4EB8A991" w14:textId="77777777" w:rsidR="00BA2895" w:rsidRDefault="00BA2895" w:rsidP="0083201B">
      <w:r>
        <w:continuationSeparator/>
      </w:r>
    </w:p>
    <w:p w14:paraId="1D4DEEF4" w14:textId="77777777" w:rsidR="00BA2895" w:rsidRDefault="00BA2895" w:rsidP="0083201B"/>
    <w:p w14:paraId="51D4C0DC" w14:textId="77777777" w:rsidR="00BA2895" w:rsidRDefault="00BA2895" w:rsidP="008320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E0A65" w14:textId="77777777" w:rsidR="00BA2895" w:rsidRDefault="00BA2895" w:rsidP="002E2048">
    <w:pPr>
      <w:pStyle w:val="Footer"/>
      <w:tabs>
        <w:tab w:val="left" w:pos="410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3EB19" w14:textId="77777777" w:rsidR="00BA2895" w:rsidRDefault="00BA2895" w:rsidP="0083201B"/>
  <w:p w14:paraId="508EE82F" w14:textId="77777777" w:rsidR="00BA2895" w:rsidRDefault="00BA2895" w:rsidP="0083201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0903757"/>
      <w:docPartObj>
        <w:docPartGallery w:val="Page Numbers (Bottom of Page)"/>
        <w:docPartUnique/>
      </w:docPartObj>
    </w:sdtPr>
    <w:sdtEndPr>
      <w:rPr>
        <w:noProof/>
      </w:rPr>
    </w:sdtEndPr>
    <w:sdtContent>
      <w:p w14:paraId="0E5BFEE2" w14:textId="77777777" w:rsidR="00BA2895" w:rsidRDefault="00BA2895">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sdtContent>
  </w:sdt>
  <w:p w14:paraId="7A4DE822" w14:textId="77777777" w:rsidR="00BA2895" w:rsidRDefault="00BA2895" w:rsidP="0083201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2A21A6" w14:textId="77777777" w:rsidR="00BA2895" w:rsidRDefault="00BA2895" w:rsidP="00CD5777">
      <w:pPr>
        <w:spacing w:after="0" w:line="240" w:lineRule="auto"/>
      </w:pPr>
      <w:r>
        <w:separator/>
      </w:r>
    </w:p>
  </w:footnote>
  <w:footnote w:type="continuationSeparator" w:id="0">
    <w:p w14:paraId="28E5C561" w14:textId="77777777" w:rsidR="00BA2895" w:rsidRDefault="00BA2895" w:rsidP="0083201B">
      <w:r>
        <w:continuationSeparator/>
      </w:r>
    </w:p>
    <w:p w14:paraId="11D1E432" w14:textId="77777777" w:rsidR="00BA2895" w:rsidRDefault="00BA2895" w:rsidP="0083201B"/>
    <w:p w14:paraId="3C2C105B" w14:textId="77777777" w:rsidR="00BA2895" w:rsidRDefault="00BA2895" w:rsidP="0083201B"/>
  </w:footnote>
  <w:footnote w:id="1">
    <w:p w14:paraId="2E0BF255" w14:textId="155683D6" w:rsidR="00BA2895" w:rsidRDefault="00BA2895" w:rsidP="00820638">
      <w:pPr>
        <w:pStyle w:val="FootnoteText"/>
      </w:pPr>
      <w:r>
        <w:rPr>
          <w:rStyle w:val="FootnoteReference"/>
        </w:rPr>
        <w:footnoteRef/>
      </w:r>
      <w:r>
        <w:t xml:space="preserve"> </w:t>
      </w:r>
      <w:r w:rsidRPr="00D15599">
        <w:t xml:space="preserve">Employment is measured by Modified Employee Counts (MECs). A MEC job year is the employment of one person, measured as one Modified Employment Count, for one year.  </w:t>
      </w:r>
      <w:r w:rsidR="00981F9D">
        <w:t>StatsNZ</w:t>
      </w:r>
      <w:r w:rsidRPr="00D15599">
        <w:t xml:space="preserve">, under the Business Frame (which matches businesses almost exactly with their employees), collect annual data on employment by </w:t>
      </w:r>
      <w:r>
        <w:t>SA1</w:t>
      </w:r>
      <w:r w:rsidRPr="00D15599">
        <w:t xml:space="preserve"> at the 6-digit ANZSIC industry level, one employee is termed an ‘EC’ or Employee Count.  ECs are head counts of people employed in an industry. Thus, if a person is employed in more than one industry then they are counted twice.  ECs also do not account for self-employed, business proprietors.  For this reason, Market Economics Ltd has created modified employment counts (MECs) based on the EC data, which includes estimates of the numbers of working proprietors for each industry type.  Overall, MECs when compared with alternative employment measures, such as the Census of Population and Dwellings, will over count employment, probably in the order of 10 to 15 percent.  It must </w:t>
      </w:r>
      <w:r>
        <w:t xml:space="preserve">however </w:t>
      </w:r>
      <w:r w:rsidRPr="00D15599">
        <w:t>be noted that the Census of Population and Dwellings which is typically a five yearly survey, dependent upon recipient response, and in the case of employment information has a high no-respondent rate.  Neither dataset is therefore completely adequate in measuring employment.</w:t>
      </w:r>
    </w:p>
  </w:footnote>
  <w:footnote w:id="2">
    <w:p w14:paraId="1B5C79E7" w14:textId="1403F1E1" w:rsidR="00BA2895" w:rsidRDefault="00BA2895" w:rsidP="00820638">
      <w:pPr>
        <w:pStyle w:val="FootnoteText"/>
      </w:pPr>
      <w:r>
        <w:rPr>
          <w:rStyle w:val="FootnoteReference"/>
        </w:rPr>
        <w:footnoteRef/>
      </w:r>
      <w:r>
        <w:t xml:space="preserve"> </w:t>
      </w:r>
      <w:r w:rsidRPr="00D15599">
        <w:t>All value added figures are presented in constant NZ$</w:t>
      </w:r>
      <w:r w:rsidRPr="00A052B1">
        <w:rPr>
          <w:vertAlign w:val="subscript"/>
        </w:rPr>
        <w:t>20</w:t>
      </w:r>
      <w:r>
        <w:rPr>
          <w:vertAlign w:val="subscript"/>
        </w:rPr>
        <w:t>18</w:t>
      </w:r>
      <w:r w:rsidRPr="00D15599">
        <w:t xml:space="preserve"> million dollars.</w:t>
      </w:r>
      <w:r>
        <w:t xml:space="preserve"> </w:t>
      </w:r>
    </w:p>
  </w:footnote>
  <w:footnote w:id="3">
    <w:p w14:paraId="57DA92A0" w14:textId="02619925" w:rsidR="00BA2895" w:rsidRDefault="00BA2895" w:rsidP="0031496F">
      <w:pPr>
        <w:pStyle w:val="FootnoteText"/>
      </w:pPr>
      <w:r>
        <w:rPr>
          <w:rStyle w:val="FootnoteReference"/>
        </w:rPr>
        <w:footnoteRef/>
      </w:r>
      <w:r>
        <w:t xml:space="preserve"> WISE simulates demographic, economic, land-use, and environmental change across space (for a 100m x 100m spatial grid) and through time (yearly time steps for 2018 to 2068) for Waikato Region.  It was developed through a policy-science collaboration under New Zealand Government Foundation of Research, Science and Technology (FRST) funding.  Full documentation of the underlying integrated models and how they interact is available in the WISE Technical Specification available from </w:t>
      </w:r>
      <w:hyperlink r:id="rId1" w:history="1">
        <w:r>
          <w:rPr>
            <w:rStyle w:val="Hyperlink"/>
          </w:rPr>
          <w:t>http://www.creatingfutures.org.nz/resources/publications</w:t>
        </w:r>
      </w:hyperlink>
      <w:r>
        <w:t xml:space="preserve">. </w:t>
      </w:r>
    </w:p>
  </w:footnote>
  <w:footnote w:id="4">
    <w:p w14:paraId="60AAB9BB" w14:textId="77777777" w:rsidR="00BA2895" w:rsidRDefault="00BA2895" w:rsidP="006475DF">
      <w:pPr>
        <w:pStyle w:val="FootnoteText"/>
      </w:pPr>
      <w:r>
        <w:rPr>
          <w:rStyle w:val="FootnoteReference"/>
        </w:rPr>
        <w:footnoteRef/>
      </w:r>
      <w:r>
        <w:t xml:space="preserve"> Also known as the Economic Futures Model.</w:t>
      </w:r>
    </w:p>
  </w:footnote>
  <w:footnote w:id="5">
    <w:p w14:paraId="5F768D8B" w14:textId="77777777" w:rsidR="00BA2895" w:rsidRDefault="00BA2895" w:rsidP="003D5A61">
      <w:pPr>
        <w:pStyle w:val="FootnoteText"/>
        <w:rPr>
          <w:lang w:eastAsia="ko-KR"/>
        </w:rPr>
      </w:pPr>
      <w:r>
        <w:rPr>
          <w:rStyle w:val="FootnoteReference"/>
        </w:rPr>
        <w:footnoteRef/>
      </w:r>
      <w:r>
        <w:t xml:space="preserve"> </w:t>
      </w:r>
      <w:r>
        <w:rPr>
          <w:lang w:eastAsia="ko-KR"/>
        </w:rPr>
        <w:t>Excludes Rotorua District (part in Waikato Region).</w:t>
      </w:r>
    </w:p>
  </w:footnote>
  <w:footnote w:id="6">
    <w:p w14:paraId="622105FB" w14:textId="77777777" w:rsidR="00BA2895" w:rsidRDefault="00BA2895" w:rsidP="003D5A61">
      <w:pPr>
        <w:pStyle w:val="FootnoteText"/>
        <w:rPr>
          <w:lang w:eastAsia="ko-KR"/>
        </w:rPr>
      </w:pPr>
      <w:r>
        <w:rPr>
          <w:rStyle w:val="FootnoteReference"/>
        </w:rPr>
        <w:footnoteRef/>
      </w:r>
      <w:r>
        <w:t xml:space="preserve"> </w:t>
      </w:r>
      <w:r>
        <w:rPr>
          <w:lang w:eastAsia="ko-KR"/>
        </w:rPr>
        <w:t>Excludes Rotorua District (part in Waikato Region).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60E96" w14:textId="77777777" w:rsidR="00BA2895" w:rsidRDefault="00BA2895" w:rsidP="008320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32313" w14:textId="77777777" w:rsidR="00BA2895" w:rsidRDefault="00BA2895" w:rsidP="00D10991">
    <w:pPr>
      <w:pStyle w:val="Header"/>
    </w:pPr>
    <w:r>
      <w:rPr>
        <w:noProof/>
        <w:lang w:eastAsia="en-NZ"/>
      </w:rPr>
      <w:drawing>
        <wp:anchor distT="0" distB="0" distL="114300" distR="114300" simplePos="0" relativeHeight="251664384" behindDoc="0" locked="0" layoutInCell="1" allowOverlap="1" wp14:anchorId="01FE2E2D" wp14:editId="0F3E30F8">
          <wp:simplePos x="0" y="0"/>
          <wp:positionH relativeFrom="column">
            <wp:posOffset>5622735</wp:posOffset>
          </wp:positionH>
          <wp:positionV relativeFrom="paragraph">
            <wp:posOffset>-505460</wp:posOffset>
          </wp:positionV>
          <wp:extent cx="1214033" cy="1104095"/>
          <wp:effectExtent l="0" t="0" r="5715" b="12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_RES_GRAPHIC ONLY.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1214033" cy="110409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themeColor="background1"/>
      </w:rPr>
      <w:id w:val="-1314245284"/>
      <w:docPartObj>
        <w:docPartGallery w:val="Page Numbers (Top of Page)"/>
        <w:docPartUnique/>
      </w:docPartObj>
    </w:sdtPr>
    <w:sdtEndPr>
      <w:rPr>
        <w:noProof/>
      </w:rPr>
    </w:sdtEndPr>
    <w:sdtContent>
      <w:p w14:paraId="426F9422" w14:textId="77777777" w:rsidR="00BA2895" w:rsidRPr="00367908" w:rsidRDefault="00BA2895" w:rsidP="00626E7D">
        <w:pPr>
          <w:pStyle w:val="Header"/>
          <w:tabs>
            <w:tab w:val="clear" w:pos="9360"/>
            <w:tab w:val="right" w:pos="9315"/>
          </w:tabs>
          <w:jc w:val="right"/>
          <w:rPr>
            <w:color w:val="FFFFFF" w:themeColor="background1"/>
          </w:rPr>
        </w:pPr>
        <w:r>
          <w:rPr>
            <w:noProof/>
            <w:lang w:eastAsia="en-NZ"/>
          </w:rPr>
          <w:drawing>
            <wp:anchor distT="0" distB="0" distL="114300" distR="114300" simplePos="0" relativeHeight="251666432" behindDoc="0" locked="0" layoutInCell="1" allowOverlap="1" wp14:anchorId="5FE94B8C" wp14:editId="14042635">
              <wp:simplePos x="0" y="0"/>
              <wp:positionH relativeFrom="column">
                <wp:posOffset>5636526</wp:posOffset>
              </wp:positionH>
              <wp:positionV relativeFrom="paragraph">
                <wp:posOffset>-532263</wp:posOffset>
              </wp:positionV>
              <wp:extent cx="1214033" cy="1104095"/>
              <wp:effectExtent l="0" t="0" r="5715"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_RES_GRAPHIC ONLY.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1214033" cy="1104095"/>
                      </a:xfrm>
                      <a:prstGeom prst="rect">
                        <a:avLst/>
                      </a:prstGeom>
                    </pic:spPr>
                  </pic:pic>
                </a:graphicData>
              </a:graphic>
              <wp14:sizeRelH relativeFrom="page">
                <wp14:pctWidth>0</wp14:pctWidth>
              </wp14:sizeRelH>
              <wp14:sizeRelV relativeFrom="page">
                <wp14:pctHeight>0</wp14:pctHeight>
              </wp14:sizeRelV>
            </wp:anchor>
          </w:drawing>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61B6E"/>
    <w:multiLevelType w:val="multilevel"/>
    <w:tmpl w:val="F94EAD8C"/>
    <w:styleLink w:val="MELIST"/>
    <w:lvl w:ilvl="0">
      <w:start w:val="1"/>
      <w:numFmt w:val="decimal"/>
      <w:lvlText w:val="%1."/>
      <w:lvlJc w:val="left"/>
      <w:pPr>
        <w:ind w:left="3992" w:hanging="360"/>
      </w:pPr>
      <w:rPr>
        <w:rFonts w:hint="default"/>
      </w:rPr>
    </w:lvl>
    <w:lvl w:ilvl="1">
      <w:start w:val="1"/>
      <w:numFmt w:val="decimal"/>
      <w:lvlText w:val="%1.%2"/>
      <w:lvlJc w:val="left"/>
      <w:pPr>
        <w:ind w:left="4352" w:hanging="3186"/>
      </w:pPr>
      <w:rPr>
        <w:rFonts w:hint="default"/>
      </w:rPr>
    </w:lvl>
    <w:lvl w:ilvl="2">
      <w:start w:val="1"/>
      <w:numFmt w:val="decimal"/>
      <w:lvlText w:val="%1.%2.%3"/>
      <w:lvlJc w:val="left"/>
      <w:pPr>
        <w:ind w:left="4712" w:hanging="3262"/>
      </w:pPr>
      <w:rPr>
        <w:rFonts w:hint="default"/>
      </w:rPr>
    </w:lvl>
    <w:lvl w:ilvl="3">
      <w:start w:val="1"/>
      <w:numFmt w:val="decimal"/>
      <w:lvlText w:val="%1.%2.%3.%4"/>
      <w:lvlJc w:val="left"/>
      <w:pPr>
        <w:ind w:left="5072" w:hanging="360"/>
      </w:pPr>
      <w:rPr>
        <w:rFonts w:hint="default"/>
      </w:rPr>
    </w:lvl>
    <w:lvl w:ilvl="4">
      <w:start w:val="1"/>
      <w:numFmt w:val="decimal"/>
      <w:pStyle w:val="MEheading5"/>
      <w:lvlText w:val="%1.%2.%3.%4.%5"/>
      <w:lvlJc w:val="left"/>
      <w:pPr>
        <w:ind w:left="5432" w:hanging="360"/>
      </w:pPr>
      <w:rPr>
        <w:rFonts w:hint="default"/>
      </w:rPr>
    </w:lvl>
    <w:lvl w:ilvl="5">
      <w:start w:val="1"/>
      <w:numFmt w:val="lowerRoman"/>
      <w:lvlText w:val="(%6)"/>
      <w:lvlJc w:val="left"/>
      <w:pPr>
        <w:ind w:left="5792" w:hanging="360"/>
      </w:pPr>
      <w:rPr>
        <w:rFonts w:hint="default"/>
      </w:rPr>
    </w:lvl>
    <w:lvl w:ilvl="6">
      <w:start w:val="1"/>
      <w:numFmt w:val="decimal"/>
      <w:lvlText w:val="%7."/>
      <w:lvlJc w:val="left"/>
      <w:pPr>
        <w:ind w:left="6152" w:hanging="360"/>
      </w:pPr>
      <w:rPr>
        <w:rFonts w:hint="default"/>
      </w:rPr>
    </w:lvl>
    <w:lvl w:ilvl="7">
      <w:start w:val="1"/>
      <w:numFmt w:val="lowerLetter"/>
      <w:lvlText w:val="%8."/>
      <w:lvlJc w:val="left"/>
      <w:pPr>
        <w:ind w:left="6512" w:hanging="360"/>
      </w:pPr>
      <w:rPr>
        <w:rFonts w:hint="default"/>
      </w:rPr>
    </w:lvl>
    <w:lvl w:ilvl="8">
      <w:start w:val="1"/>
      <w:numFmt w:val="lowerRoman"/>
      <w:lvlText w:val="%9."/>
      <w:lvlJc w:val="left"/>
      <w:pPr>
        <w:ind w:left="6872" w:hanging="360"/>
      </w:pPr>
      <w:rPr>
        <w:rFonts w:hint="default"/>
      </w:rPr>
    </w:lvl>
  </w:abstractNum>
  <w:abstractNum w:abstractNumId="1" w15:restartNumberingAfterBreak="0">
    <w:nsid w:val="020641C5"/>
    <w:multiLevelType w:val="hybridMultilevel"/>
    <w:tmpl w:val="3E664622"/>
    <w:lvl w:ilvl="0" w:tplc="D826A804">
      <w:start w:val="1"/>
      <w:numFmt w:val="lowerRoman"/>
      <w:pStyle w:val="romannolist"/>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11E07D6F"/>
    <w:multiLevelType w:val="hybridMultilevel"/>
    <w:tmpl w:val="59686FBE"/>
    <w:lvl w:ilvl="0" w:tplc="13865C84">
      <w:start w:val="1"/>
      <w:numFmt w:val="bullet"/>
      <w:lvlText w:val=""/>
      <w:lvlJc w:val="left"/>
      <w:pPr>
        <w:ind w:left="2434" w:hanging="360"/>
      </w:pPr>
      <w:rPr>
        <w:rFonts w:ascii="Symbol" w:hAnsi="Symbol" w:hint="default"/>
        <w:color w:val="0179BB"/>
        <w:sz w:val="32"/>
      </w:rPr>
    </w:lvl>
    <w:lvl w:ilvl="1" w:tplc="04090003" w:tentative="1">
      <w:start w:val="1"/>
      <w:numFmt w:val="bullet"/>
      <w:lvlText w:val="o"/>
      <w:lvlJc w:val="left"/>
      <w:pPr>
        <w:ind w:left="3154" w:hanging="360"/>
      </w:pPr>
      <w:rPr>
        <w:rFonts w:ascii="Courier New" w:hAnsi="Courier New" w:cs="Courier New" w:hint="default"/>
      </w:rPr>
    </w:lvl>
    <w:lvl w:ilvl="2" w:tplc="04090005" w:tentative="1">
      <w:start w:val="1"/>
      <w:numFmt w:val="bullet"/>
      <w:lvlText w:val=""/>
      <w:lvlJc w:val="left"/>
      <w:pPr>
        <w:ind w:left="3874" w:hanging="360"/>
      </w:pPr>
      <w:rPr>
        <w:rFonts w:ascii="Wingdings" w:hAnsi="Wingdings" w:hint="default"/>
      </w:rPr>
    </w:lvl>
    <w:lvl w:ilvl="3" w:tplc="04090001" w:tentative="1">
      <w:start w:val="1"/>
      <w:numFmt w:val="bullet"/>
      <w:lvlText w:val=""/>
      <w:lvlJc w:val="left"/>
      <w:pPr>
        <w:ind w:left="4594" w:hanging="360"/>
      </w:pPr>
      <w:rPr>
        <w:rFonts w:ascii="Symbol" w:hAnsi="Symbol" w:hint="default"/>
      </w:rPr>
    </w:lvl>
    <w:lvl w:ilvl="4" w:tplc="04090003" w:tentative="1">
      <w:start w:val="1"/>
      <w:numFmt w:val="bullet"/>
      <w:lvlText w:val="o"/>
      <w:lvlJc w:val="left"/>
      <w:pPr>
        <w:ind w:left="5314" w:hanging="360"/>
      </w:pPr>
      <w:rPr>
        <w:rFonts w:ascii="Courier New" w:hAnsi="Courier New" w:cs="Courier New" w:hint="default"/>
      </w:rPr>
    </w:lvl>
    <w:lvl w:ilvl="5" w:tplc="04090005" w:tentative="1">
      <w:start w:val="1"/>
      <w:numFmt w:val="bullet"/>
      <w:lvlText w:val=""/>
      <w:lvlJc w:val="left"/>
      <w:pPr>
        <w:ind w:left="6034" w:hanging="360"/>
      </w:pPr>
      <w:rPr>
        <w:rFonts w:ascii="Wingdings" w:hAnsi="Wingdings" w:hint="default"/>
      </w:rPr>
    </w:lvl>
    <w:lvl w:ilvl="6" w:tplc="04090001" w:tentative="1">
      <w:start w:val="1"/>
      <w:numFmt w:val="bullet"/>
      <w:lvlText w:val=""/>
      <w:lvlJc w:val="left"/>
      <w:pPr>
        <w:ind w:left="6754" w:hanging="360"/>
      </w:pPr>
      <w:rPr>
        <w:rFonts w:ascii="Symbol" w:hAnsi="Symbol" w:hint="default"/>
      </w:rPr>
    </w:lvl>
    <w:lvl w:ilvl="7" w:tplc="04090003" w:tentative="1">
      <w:start w:val="1"/>
      <w:numFmt w:val="bullet"/>
      <w:lvlText w:val="o"/>
      <w:lvlJc w:val="left"/>
      <w:pPr>
        <w:ind w:left="7474" w:hanging="360"/>
      </w:pPr>
      <w:rPr>
        <w:rFonts w:ascii="Courier New" w:hAnsi="Courier New" w:cs="Courier New" w:hint="default"/>
      </w:rPr>
    </w:lvl>
    <w:lvl w:ilvl="8" w:tplc="04090005" w:tentative="1">
      <w:start w:val="1"/>
      <w:numFmt w:val="bullet"/>
      <w:lvlText w:val=""/>
      <w:lvlJc w:val="left"/>
      <w:pPr>
        <w:ind w:left="8194" w:hanging="360"/>
      </w:pPr>
      <w:rPr>
        <w:rFonts w:ascii="Wingdings" w:hAnsi="Wingdings" w:hint="default"/>
      </w:rPr>
    </w:lvl>
  </w:abstractNum>
  <w:abstractNum w:abstractNumId="3" w15:restartNumberingAfterBreak="0">
    <w:nsid w:val="13293A61"/>
    <w:multiLevelType w:val="hybridMultilevel"/>
    <w:tmpl w:val="E690E836"/>
    <w:lvl w:ilvl="0" w:tplc="0B228AFA">
      <w:start w:val="1"/>
      <w:numFmt w:val="bullet"/>
      <w:pStyle w:val="MEBullet"/>
      <w:lvlText w:val=""/>
      <w:lvlJc w:val="left"/>
      <w:pPr>
        <w:ind w:left="1421" w:hanging="360"/>
      </w:pPr>
      <w:rPr>
        <w:rFonts w:ascii="Symbol" w:hAnsi="Symbol" w:hint="default"/>
        <w:color w:val="949300"/>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4" w15:restartNumberingAfterBreak="0">
    <w:nsid w:val="1C760976"/>
    <w:multiLevelType w:val="hybridMultilevel"/>
    <w:tmpl w:val="47F045DC"/>
    <w:lvl w:ilvl="0" w:tplc="FC3AF9B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A64C0E"/>
    <w:multiLevelType w:val="multilevel"/>
    <w:tmpl w:val="DA102E66"/>
    <w:lvl w:ilvl="0">
      <w:start w:val="1"/>
      <w:numFmt w:val="decimal"/>
      <w:lvlText w:val="%1: "/>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E6B7EC9"/>
    <w:multiLevelType w:val="hybridMultilevel"/>
    <w:tmpl w:val="2EF6EB3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31C34ACD"/>
    <w:multiLevelType w:val="hybridMultilevel"/>
    <w:tmpl w:val="FE44012A"/>
    <w:lvl w:ilvl="0" w:tplc="253CB5E0">
      <w:start w:val="1"/>
      <w:numFmt w:val="bullet"/>
      <w:pStyle w:val="Bullets"/>
      <w:lvlText w:val=""/>
      <w:lvlJc w:val="left"/>
      <w:pPr>
        <w:ind w:left="2434" w:hanging="360"/>
      </w:pPr>
      <w:rPr>
        <w:rFonts w:ascii="Symbol" w:hAnsi="Symbol" w:hint="default"/>
        <w:color w:val="0179BB"/>
        <w:sz w:val="32"/>
      </w:rPr>
    </w:lvl>
    <w:lvl w:ilvl="1" w:tplc="04090003" w:tentative="1">
      <w:start w:val="1"/>
      <w:numFmt w:val="bullet"/>
      <w:lvlText w:val="o"/>
      <w:lvlJc w:val="left"/>
      <w:pPr>
        <w:ind w:left="3154" w:hanging="360"/>
      </w:pPr>
      <w:rPr>
        <w:rFonts w:ascii="Courier New" w:hAnsi="Courier New" w:cs="Courier New" w:hint="default"/>
      </w:rPr>
    </w:lvl>
    <w:lvl w:ilvl="2" w:tplc="04090005" w:tentative="1">
      <w:start w:val="1"/>
      <w:numFmt w:val="bullet"/>
      <w:lvlText w:val=""/>
      <w:lvlJc w:val="left"/>
      <w:pPr>
        <w:ind w:left="3874" w:hanging="360"/>
      </w:pPr>
      <w:rPr>
        <w:rFonts w:ascii="Wingdings" w:hAnsi="Wingdings" w:hint="default"/>
      </w:rPr>
    </w:lvl>
    <w:lvl w:ilvl="3" w:tplc="04090001" w:tentative="1">
      <w:start w:val="1"/>
      <w:numFmt w:val="bullet"/>
      <w:lvlText w:val=""/>
      <w:lvlJc w:val="left"/>
      <w:pPr>
        <w:ind w:left="4594" w:hanging="360"/>
      </w:pPr>
      <w:rPr>
        <w:rFonts w:ascii="Symbol" w:hAnsi="Symbol" w:hint="default"/>
      </w:rPr>
    </w:lvl>
    <w:lvl w:ilvl="4" w:tplc="04090003" w:tentative="1">
      <w:start w:val="1"/>
      <w:numFmt w:val="bullet"/>
      <w:lvlText w:val="o"/>
      <w:lvlJc w:val="left"/>
      <w:pPr>
        <w:ind w:left="5314" w:hanging="360"/>
      </w:pPr>
      <w:rPr>
        <w:rFonts w:ascii="Courier New" w:hAnsi="Courier New" w:cs="Courier New" w:hint="default"/>
      </w:rPr>
    </w:lvl>
    <w:lvl w:ilvl="5" w:tplc="04090005" w:tentative="1">
      <w:start w:val="1"/>
      <w:numFmt w:val="bullet"/>
      <w:lvlText w:val=""/>
      <w:lvlJc w:val="left"/>
      <w:pPr>
        <w:ind w:left="6034" w:hanging="360"/>
      </w:pPr>
      <w:rPr>
        <w:rFonts w:ascii="Wingdings" w:hAnsi="Wingdings" w:hint="default"/>
      </w:rPr>
    </w:lvl>
    <w:lvl w:ilvl="6" w:tplc="04090001" w:tentative="1">
      <w:start w:val="1"/>
      <w:numFmt w:val="bullet"/>
      <w:lvlText w:val=""/>
      <w:lvlJc w:val="left"/>
      <w:pPr>
        <w:ind w:left="6754" w:hanging="360"/>
      </w:pPr>
      <w:rPr>
        <w:rFonts w:ascii="Symbol" w:hAnsi="Symbol" w:hint="default"/>
      </w:rPr>
    </w:lvl>
    <w:lvl w:ilvl="7" w:tplc="04090003" w:tentative="1">
      <w:start w:val="1"/>
      <w:numFmt w:val="bullet"/>
      <w:lvlText w:val="o"/>
      <w:lvlJc w:val="left"/>
      <w:pPr>
        <w:ind w:left="7474" w:hanging="360"/>
      </w:pPr>
      <w:rPr>
        <w:rFonts w:ascii="Courier New" w:hAnsi="Courier New" w:cs="Courier New" w:hint="default"/>
      </w:rPr>
    </w:lvl>
    <w:lvl w:ilvl="8" w:tplc="04090005" w:tentative="1">
      <w:start w:val="1"/>
      <w:numFmt w:val="bullet"/>
      <w:lvlText w:val=""/>
      <w:lvlJc w:val="left"/>
      <w:pPr>
        <w:ind w:left="8194" w:hanging="360"/>
      </w:pPr>
      <w:rPr>
        <w:rFonts w:ascii="Wingdings" w:hAnsi="Wingdings" w:hint="default"/>
      </w:rPr>
    </w:lvl>
  </w:abstractNum>
  <w:abstractNum w:abstractNumId="8" w15:restartNumberingAfterBreak="0">
    <w:nsid w:val="33631587"/>
    <w:multiLevelType w:val="multilevel"/>
    <w:tmpl w:val="87F0841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402F1F88"/>
    <w:multiLevelType w:val="hybridMultilevel"/>
    <w:tmpl w:val="13AC06F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41F92381"/>
    <w:multiLevelType w:val="hybridMultilevel"/>
    <w:tmpl w:val="CD76D75C"/>
    <w:lvl w:ilvl="0" w:tplc="8BE41D1A">
      <w:start w:val="1"/>
      <w:numFmt w:val="lowerLetter"/>
      <w:pStyle w:val="abclist"/>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1" w15:restartNumberingAfterBreak="0">
    <w:nsid w:val="57663ACE"/>
    <w:multiLevelType w:val="hybridMultilevel"/>
    <w:tmpl w:val="5AF2893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2" w15:restartNumberingAfterBreak="0">
    <w:nsid w:val="57D1475F"/>
    <w:multiLevelType w:val="hybridMultilevel"/>
    <w:tmpl w:val="7FD6A38A"/>
    <w:lvl w:ilvl="0" w:tplc="5AB07570">
      <w:start w:val="1"/>
      <w:numFmt w:val="lowerRoman"/>
      <w:lvlText w:val="%1)"/>
      <w:lvlJc w:val="left"/>
      <w:pPr>
        <w:ind w:left="270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2F644D0"/>
    <w:multiLevelType w:val="hybridMultilevel"/>
    <w:tmpl w:val="24540608"/>
    <w:lvl w:ilvl="0" w:tplc="04090013">
      <w:start w:val="1"/>
      <w:numFmt w:val="upperRoman"/>
      <w:lvlText w:val="%1."/>
      <w:lvlJc w:val="right"/>
      <w:pPr>
        <w:ind w:left="2434" w:hanging="360"/>
      </w:pPr>
    </w:lvl>
    <w:lvl w:ilvl="1" w:tplc="04090019" w:tentative="1">
      <w:start w:val="1"/>
      <w:numFmt w:val="lowerLetter"/>
      <w:lvlText w:val="%2."/>
      <w:lvlJc w:val="left"/>
      <w:pPr>
        <w:ind w:left="3154" w:hanging="360"/>
      </w:pPr>
    </w:lvl>
    <w:lvl w:ilvl="2" w:tplc="0409001B" w:tentative="1">
      <w:start w:val="1"/>
      <w:numFmt w:val="lowerRoman"/>
      <w:lvlText w:val="%3."/>
      <w:lvlJc w:val="right"/>
      <w:pPr>
        <w:ind w:left="3874" w:hanging="180"/>
      </w:pPr>
    </w:lvl>
    <w:lvl w:ilvl="3" w:tplc="0409000F" w:tentative="1">
      <w:start w:val="1"/>
      <w:numFmt w:val="decimal"/>
      <w:lvlText w:val="%4."/>
      <w:lvlJc w:val="left"/>
      <w:pPr>
        <w:ind w:left="4594" w:hanging="360"/>
      </w:pPr>
    </w:lvl>
    <w:lvl w:ilvl="4" w:tplc="04090019" w:tentative="1">
      <w:start w:val="1"/>
      <w:numFmt w:val="lowerLetter"/>
      <w:lvlText w:val="%5."/>
      <w:lvlJc w:val="left"/>
      <w:pPr>
        <w:ind w:left="5314" w:hanging="360"/>
      </w:pPr>
    </w:lvl>
    <w:lvl w:ilvl="5" w:tplc="0409001B" w:tentative="1">
      <w:start w:val="1"/>
      <w:numFmt w:val="lowerRoman"/>
      <w:lvlText w:val="%6."/>
      <w:lvlJc w:val="right"/>
      <w:pPr>
        <w:ind w:left="6034" w:hanging="180"/>
      </w:pPr>
    </w:lvl>
    <w:lvl w:ilvl="6" w:tplc="0409000F" w:tentative="1">
      <w:start w:val="1"/>
      <w:numFmt w:val="decimal"/>
      <w:lvlText w:val="%7."/>
      <w:lvlJc w:val="left"/>
      <w:pPr>
        <w:ind w:left="6754" w:hanging="360"/>
      </w:pPr>
    </w:lvl>
    <w:lvl w:ilvl="7" w:tplc="04090019" w:tentative="1">
      <w:start w:val="1"/>
      <w:numFmt w:val="lowerLetter"/>
      <w:lvlText w:val="%8."/>
      <w:lvlJc w:val="left"/>
      <w:pPr>
        <w:ind w:left="7474" w:hanging="360"/>
      </w:pPr>
    </w:lvl>
    <w:lvl w:ilvl="8" w:tplc="0409001B" w:tentative="1">
      <w:start w:val="1"/>
      <w:numFmt w:val="lowerRoman"/>
      <w:lvlText w:val="%9."/>
      <w:lvlJc w:val="right"/>
      <w:pPr>
        <w:ind w:left="8194" w:hanging="180"/>
      </w:pPr>
    </w:lvl>
  </w:abstractNum>
  <w:abstractNum w:abstractNumId="14" w15:restartNumberingAfterBreak="0">
    <w:nsid w:val="6D6A5C8C"/>
    <w:multiLevelType w:val="hybridMultilevel"/>
    <w:tmpl w:val="01DE2026"/>
    <w:lvl w:ilvl="0" w:tplc="977C2008">
      <w:start w:val="1"/>
      <w:numFmt w:val="decimal"/>
      <w:pStyle w:val="123list"/>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5" w15:restartNumberingAfterBreak="0">
    <w:nsid w:val="6F3C1D54"/>
    <w:multiLevelType w:val="hybridMultilevel"/>
    <w:tmpl w:val="78D86086"/>
    <w:lvl w:ilvl="0" w:tplc="63540E2E">
      <w:start w:val="1"/>
      <w:numFmt w:val="decimal"/>
      <w:lvlText w:val="(%1)"/>
      <w:lvlJc w:val="left"/>
      <w:pPr>
        <w:ind w:left="720" w:hanging="360"/>
      </w:pPr>
      <w:rPr>
        <w:i w:val="0"/>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num w:numId="1">
    <w:abstractNumId w:val="0"/>
  </w:num>
  <w:num w:numId="2">
    <w:abstractNumId w:val="4"/>
  </w:num>
  <w:num w:numId="3">
    <w:abstractNumId w:val="5"/>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2"/>
  </w:num>
  <w:num w:numId="7">
    <w:abstractNumId w:val="7"/>
  </w:num>
  <w:num w:numId="8">
    <w:abstractNumId w:val="13"/>
  </w:num>
  <w:num w:numId="9">
    <w:abstractNumId w:val="3"/>
  </w:num>
  <w:num w:numId="10">
    <w:abstractNumId w:val="10"/>
  </w:num>
  <w:num w:numId="11">
    <w:abstractNumId w:val="12"/>
  </w:num>
  <w:num w:numId="12">
    <w:abstractNumId w:val="1"/>
  </w:num>
  <w:num w:numId="13">
    <w:abstractNumId w:val="10"/>
    <w:lvlOverride w:ilvl="0">
      <w:startOverride w:val="1"/>
    </w:lvlOverride>
  </w:num>
  <w:num w:numId="14">
    <w:abstractNumId w:val="14"/>
  </w:num>
  <w:num w:numId="15">
    <w:abstractNumId w:val="9"/>
  </w:num>
  <w:num w:numId="16">
    <w:abstractNumId w:val="11"/>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5DF"/>
    <w:rsid w:val="00025C48"/>
    <w:rsid w:val="000437D0"/>
    <w:rsid w:val="0005252F"/>
    <w:rsid w:val="0007727B"/>
    <w:rsid w:val="00080132"/>
    <w:rsid w:val="0008790B"/>
    <w:rsid w:val="000902D2"/>
    <w:rsid w:val="000A1EB8"/>
    <w:rsid w:val="000A2610"/>
    <w:rsid w:val="000A60F3"/>
    <w:rsid w:val="000B4402"/>
    <w:rsid w:val="000C0322"/>
    <w:rsid w:val="000D022F"/>
    <w:rsid w:val="000D1D5D"/>
    <w:rsid w:val="000D1FE8"/>
    <w:rsid w:val="000D693C"/>
    <w:rsid w:val="000E19ED"/>
    <w:rsid w:val="000E4ED4"/>
    <w:rsid w:val="000F1CB0"/>
    <w:rsid w:val="000F323B"/>
    <w:rsid w:val="00103EAF"/>
    <w:rsid w:val="00120FD8"/>
    <w:rsid w:val="00126302"/>
    <w:rsid w:val="00132C3C"/>
    <w:rsid w:val="00161C70"/>
    <w:rsid w:val="001634D3"/>
    <w:rsid w:val="0017302C"/>
    <w:rsid w:val="00174BAA"/>
    <w:rsid w:val="001834AA"/>
    <w:rsid w:val="001845F7"/>
    <w:rsid w:val="0018564C"/>
    <w:rsid w:val="00195DD3"/>
    <w:rsid w:val="001A16B8"/>
    <w:rsid w:val="001A6B7D"/>
    <w:rsid w:val="001B68EB"/>
    <w:rsid w:val="001C456D"/>
    <w:rsid w:val="001F0573"/>
    <w:rsid w:val="00201AF8"/>
    <w:rsid w:val="002149A8"/>
    <w:rsid w:val="002158DE"/>
    <w:rsid w:val="0021733A"/>
    <w:rsid w:val="00220CF2"/>
    <w:rsid w:val="00223DD2"/>
    <w:rsid w:val="002241E9"/>
    <w:rsid w:val="00227079"/>
    <w:rsid w:val="00236087"/>
    <w:rsid w:val="00236641"/>
    <w:rsid w:val="00250E6D"/>
    <w:rsid w:val="00255B68"/>
    <w:rsid w:val="0025796D"/>
    <w:rsid w:val="0027718B"/>
    <w:rsid w:val="00280432"/>
    <w:rsid w:val="00281379"/>
    <w:rsid w:val="002839A6"/>
    <w:rsid w:val="002A35AE"/>
    <w:rsid w:val="002C34F9"/>
    <w:rsid w:val="002D1925"/>
    <w:rsid w:val="002D5840"/>
    <w:rsid w:val="002D7290"/>
    <w:rsid w:val="002E07E2"/>
    <w:rsid w:val="002E1AD8"/>
    <w:rsid w:val="002E2048"/>
    <w:rsid w:val="002F793A"/>
    <w:rsid w:val="0030120A"/>
    <w:rsid w:val="00302957"/>
    <w:rsid w:val="003141D3"/>
    <w:rsid w:val="0031496F"/>
    <w:rsid w:val="003152AB"/>
    <w:rsid w:val="00326555"/>
    <w:rsid w:val="00334FA0"/>
    <w:rsid w:val="00336903"/>
    <w:rsid w:val="003621C8"/>
    <w:rsid w:val="003627C2"/>
    <w:rsid w:val="00365851"/>
    <w:rsid w:val="00367908"/>
    <w:rsid w:val="00370AC7"/>
    <w:rsid w:val="003837F0"/>
    <w:rsid w:val="00385E2F"/>
    <w:rsid w:val="00386B0A"/>
    <w:rsid w:val="003A039D"/>
    <w:rsid w:val="003B0246"/>
    <w:rsid w:val="003B50AF"/>
    <w:rsid w:val="003B6E67"/>
    <w:rsid w:val="003C0E49"/>
    <w:rsid w:val="003D1D16"/>
    <w:rsid w:val="003D2488"/>
    <w:rsid w:val="003D31BC"/>
    <w:rsid w:val="003D3477"/>
    <w:rsid w:val="003D59FE"/>
    <w:rsid w:val="003D5A61"/>
    <w:rsid w:val="003E212B"/>
    <w:rsid w:val="003E48FE"/>
    <w:rsid w:val="003F7DD5"/>
    <w:rsid w:val="0040098C"/>
    <w:rsid w:val="00400BD9"/>
    <w:rsid w:val="004118CA"/>
    <w:rsid w:val="00425EB2"/>
    <w:rsid w:val="00427AD9"/>
    <w:rsid w:val="00440407"/>
    <w:rsid w:val="00443B65"/>
    <w:rsid w:val="004440F9"/>
    <w:rsid w:val="0045131F"/>
    <w:rsid w:val="0045188E"/>
    <w:rsid w:val="0046121C"/>
    <w:rsid w:val="0046307A"/>
    <w:rsid w:val="004700BB"/>
    <w:rsid w:val="004970E8"/>
    <w:rsid w:val="004A1942"/>
    <w:rsid w:val="004A4D7D"/>
    <w:rsid w:val="004A5E61"/>
    <w:rsid w:val="004A74A2"/>
    <w:rsid w:val="004B2B61"/>
    <w:rsid w:val="004D50B1"/>
    <w:rsid w:val="004D5489"/>
    <w:rsid w:val="004E3DB0"/>
    <w:rsid w:val="004E5D92"/>
    <w:rsid w:val="004F239D"/>
    <w:rsid w:val="004F3D31"/>
    <w:rsid w:val="005023CF"/>
    <w:rsid w:val="0050513D"/>
    <w:rsid w:val="00506EAA"/>
    <w:rsid w:val="00506ED6"/>
    <w:rsid w:val="00513200"/>
    <w:rsid w:val="00517E8C"/>
    <w:rsid w:val="00536A01"/>
    <w:rsid w:val="005463E0"/>
    <w:rsid w:val="00554E9F"/>
    <w:rsid w:val="005613B2"/>
    <w:rsid w:val="00575881"/>
    <w:rsid w:val="00575CCE"/>
    <w:rsid w:val="00581BC4"/>
    <w:rsid w:val="00582CA6"/>
    <w:rsid w:val="00584FA1"/>
    <w:rsid w:val="00587E4A"/>
    <w:rsid w:val="005A2983"/>
    <w:rsid w:val="005B0E13"/>
    <w:rsid w:val="005E10FF"/>
    <w:rsid w:val="005F579D"/>
    <w:rsid w:val="00602190"/>
    <w:rsid w:val="00603428"/>
    <w:rsid w:val="00607275"/>
    <w:rsid w:val="00613637"/>
    <w:rsid w:val="00615BE1"/>
    <w:rsid w:val="006225BB"/>
    <w:rsid w:val="00626E7D"/>
    <w:rsid w:val="006449E9"/>
    <w:rsid w:val="006475DF"/>
    <w:rsid w:val="0065469C"/>
    <w:rsid w:val="00665D2B"/>
    <w:rsid w:val="00670BCB"/>
    <w:rsid w:val="00682C41"/>
    <w:rsid w:val="00687BFF"/>
    <w:rsid w:val="00694745"/>
    <w:rsid w:val="00695819"/>
    <w:rsid w:val="006B12E6"/>
    <w:rsid w:val="006B2325"/>
    <w:rsid w:val="006B3957"/>
    <w:rsid w:val="006C3390"/>
    <w:rsid w:val="006C74FF"/>
    <w:rsid w:val="006D1D72"/>
    <w:rsid w:val="006F08E1"/>
    <w:rsid w:val="007057E0"/>
    <w:rsid w:val="00710FF1"/>
    <w:rsid w:val="007146F8"/>
    <w:rsid w:val="0071492E"/>
    <w:rsid w:val="0072150F"/>
    <w:rsid w:val="00723313"/>
    <w:rsid w:val="007427DB"/>
    <w:rsid w:val="00745357"/>
    <w:rsid w:val="00755BE9"/>
    <w:rsid w:val="00772297"/>
    <w:rsid w:val="00783CA4"/>
    <w:rsid w:val="00790B1C"/>
    <w:rsid w:val="00794615"/>
    <w:rsid w:val="00795593"/>
    <w:rsid w:val="007A2A12"/>
    <w:rsid w:val="007B32CF"/>
    <w:rsid w:val="007B3507"/>
    <w:rsid w:val="007C04E0"/>
    <w:rsid w:val="007C0A67"/>
    <w:rsid w:val="007D6AB9"/>
    <w:rsid w:val="007E4215"/>
    <w:rsid w:val="007E5E92"/>
    <w:rsid w:val="007F739B"/>
    <w:rsid w:val="008077B9"/>
    <w:rsid w:val="00815EEE"/>
    <w:rsid w:val="00820638"/>
    <w:rsid w:val="0083201B"/>
    <w:rsid w:val="0083221D"/>
    <w:rsid w:val="008357A8"/>
    <w:rsid w:val="00835990"/>
    <w:rsid w:val="00844BF0"/>
    <w:rsid w:val="00850F1A"/>
    <w:rsid w:val="00853CB3"/>
    <w:rsid w:val="008732C9"/>
    <w:rsid w:val="008738F9"/>
    <w:rsid w:val="008755FA"/>
    <w:rsid w:val="00881661"/>
    <w:rsid w:val="008831D3"/>
    <w:rsid w:val="00884B74"/>
    <w:rsid w:val="008A701B"/>
    <w:rsid w:val="008B603F"/>
    <w:rsid w:val="008B6317"/>
    <w:rsid w:val="008C016C"/>
    <w:rsid w:val="008C30E2"/>
    <w:rsid w:val="008C5E60"/>
    <w:rsid w:val="008D0471"/>
    <w:rsid w:val="008D6825"/>
    <w:rsid w:val="008F6A1A"/>
    <w:rsid w:val="00910DBC"/>
    <w:rsid w:val="00924622"/>
    <w:rsid w:val="00930E22"/>
    <w:rsid w:val="009330AD"/>
    <w:rsid w:val="00940D14"/>
    <w:rsid w:val="00942A0F"/>
    <w:rsid w:val="00946845"/>
    <w:rsid w:val="00953406"/>
    <w:rsid w:val="009676DE"/>
    <w:rsid w:val="0097294C"/>
    <w:rsid w:val="009737FA"/>
    <w:rsid w:val="00981F9D"/>
    <w:rsid w:val="009872E5"/>
    <w:rsid w:val="009905B6"/>
    <w:rsid w:val="00997634"/>
    <w:rsid w:val="009A09C4"/>
    <w:rsid w:val="009A6984"/>
    <w:rsid w:val="009C398D"/>
    <w:rsid w:val="009C4ED4"/>
    <w:rsid w:val="009F0CB8"/>
    <w:rsid w:val="00A075A5"/>
    <w:rsid w:val="00A10885"/>
    <w:rsid w:val="00A20489"/>
    <w:rsid w:val="00A31C55"/>
    <w:rsid w:val="00A34DD2"/>
    <w:rsid w:val="00A34E5F"/>
    <w:rsid w:val="00A4122C"/>
    <w:rsid w:val="00A413E2"/>
    <w:rsid w:val="00A47552"/>
    <w:rsid w:val="00A50748"/>
    <w:rsid w:val="00A50ACB"/>
    <w:rsid w:val="00A67E06"/>
    <w:rsid w:val="00A84347"/>
    <w:rsid w:val="00A86D45"/>
    <w:rsid w:val="00A87095"/>
    <w:rsid w:val="00A90A59"/>
    <w:rsid w:val="00A9515E"/>
    <w:rsid w:val="00A970C6"/>
    <w:rsid w:val="00AA2E75"/>
    <w:rsid w:val="00AA6263"/>
    <w:rsid w:val="00AB0FA2"/>
    <w:rsid w:val="00AB1913"/>
    <w:rsid w:val="00AC2310"/>
    <w:rsid w:val="00AC3587"/>
    <w:rsid w:val="00AC546C"/>
    <w:rsid w:val="00AC6A45"/>
    <w:rsid w:val="00AD05B8"/>
    <w:rsid w:val="00AE18AC"/>
    <w:rsid w:val="00AE4DA1"/>
    <w:rsid w:val="00AE5EBE"/>
    <w:rsid w:val="00AF57E5"/>
    <w:rsid w:val="00B12EF3"/>
    <w:rsid w:val="00B15351"/>
    <w:rsid w:val="00B21C37"/>
    <w:rsid w:val="00B335B3"/>
    <w:rsid w:val="00B36BD1"/>
    <w:rsid w:val="00B56B38"/>
    <w:rsid w:val="00B62208"/>
    <w:rsid w:val="00B63FA3"/>
    <w:rsid w:val="00B66830"/>
    <w:rsid w:val="00B91000"/>
    <w:rsid w:val="00B948C4"/>
    <w:rsid w:val="00BA1524"/>
    <w:rsid w:val="00BA2895"/>
    <w:rsid w:val="00BB0E00"/>
    <w:rsid w:val="00BB1FCE"/>
    <w:rsid w:val="00BC3B21"/>
    <w:rsid w:val="00BD1E01"/>
    <w:rsid w:val="00BD73DD"/>
    <w:rsid w:val="00BE2E43"/>
    <w:rsid w:val="00BE40F3"/>
    <w:rsid w:val="00BF26C9"/>
    <w:rsid w:val="00BF689B"/>
    <w:rsid w:val="00C031C3"/>
    <w:rsid w:val="00C03920"/>
    <w:rsid w:val="00C16311"/>
    <w:rsid w:val="00C21E76"/>
    <w:rsid w:val="00C22D47"/>
    <w:rsid w:val="00C26DBE"/>
    <w:rsid w:val="00C34AF1"/>
    <w:rsid w:val="00C353CD"/>
    <w:rsid w:val="00C364EB"/>
    <w:rsid w:val="00C935CD"/>
    <w:rsid w:val="00C939D4"/>
    <w:rsid w:val="00CA6119"/>
    <w:rsid w:val="00CB4A67"/>
    <w:rsid w:val="00CB523C"/>
    <w:rsid w:val="00CC139A"/>
    <w:rsid w:val="00CD136C"/>
    <w:rsid w:val="00CD1F0F"/>
    <w:rsid w:val="00CD5777"/>
    <w:rsid w:val="00CD77EB"/>
    <w:rsid w:val="00CE3659"/>
    <w:rsid w:val="00CE4E36"/>
    <w:rsid w:val="00CE53AA"/>
    <w:rsid w:val="00CF0EB4"/>
    <w:rsid w:val="00CF6608"/>
    <w:rsid w:val="00D0214B"/>
    <w:rsid w:val="00D06BB0"/>
    <w:rsid w:val="00D10991"/>
    <w:rsid w:val="00D2084C"/>
    <w:rsid w:val="00D22937"/>
    <w:rsid w:val="00D23C33"/>
    <w:rsid w:val="00D34A12"/>
    <w:rsid w:val="00D372C9"/>
    <w:rsid w:val="00D42E4E"/>
    <w:rsid w:val="00D51C2C"/>
    <w:rsid w:val="00D53E3F"/>
    <w:rsid w:val="00D77137"/>
    <w:rsid w:val="00D909AA"/>
    <w:rsid w:val="00D9201D"/>
    <w:rsid w:val="00D93FB7"/>
    <w:rsid w:val="00D9474F"/>
    <w:rsid w:val="00DA2173"/>
    <w:rsid w:val="00DA3793"/>
    <w:rsid w:val="00DD6ABB"/>
    <w:rsid w:val="00DE2E68"/>
    <w:rsid w:val="00DE4D82"/>
    <w:rsid w:val="00DE73CF"/>
    <w:rsid w:val="00DF3E65"/>
    <w:rsid w:val="00E035AA"/>
    <w:rsid w:val="00E049AA"/>
    <w:rsid w:val="00E05C4C"/>
    <w:rsid w:val="00E26C93"/>
    <w:rsid w:val="00E323BD"/>
    <w:rsid w:val="00E44787"/>
    <w:rsid w:val="00E51B10"/>
    <w:rsid w:val="00E613E4"/>
    <w:rsid w:val="00E70748"/>
    <w:rsid w:val="00E837E8"/>
    <w:rsid w:val="00E83D33"/>
    <w:rsid w:val="00E97C4F"/>
    <w:rsid w:val="00EA1E69"/>
    <w:rsid w:val="00EC6A89"/>
    <w:rsid w:val="00EE3BC3"/>
    <w:rsid w:val="00EE706B"/>
    <w:rsid w:val="00EF50DB"/>
    <w:rsid w:val="00F03ED6"/>
    <w:rsid w:val="00F12588"/>
    <w:rsid w:val="00F15117"/>
    <w:rsid w:val="00F21955"/>
    <w:rsid w:val="00F233D1"/>
    <w:rsid w:val="00F23619"/>
    <w:rsid w:val="00F26EA5"/>
    <w:rsid w:val="00F33B13"/>
    <w:rsid w:val="00F34370"/>
    <w:rsid w:val="00F404B0"/>
    <w:rsid w:val="00F50744"/>
    <w:rsid w:val="00F51F66"/>
    <w:rsid w:val="00F53A79"/>
    <w:rsid w:val="00F54B71"/>
    <w:rsid w:val="00F740DE"/>
    <w:rsid w:val="00F7775D"/>
    <w:rsid w:val="00F969A6"/>
    <w:rsid w:val="00FC040E"/>
    <w:rsid w:val="00FC3542"/>
    <w:rsid w:val="00FC6558"/>
    <w:rsid w:val="00FC6F59"/>
    <w:rsid w:val="00FD0738"/>
    <w:rsid w:val="00FD1783"/>
    <w:rsid w:val="00FD23B6"/>
    <w:rsid w:val="00FD4543"/>
    <w:rsid w:val="00FD624D"/>
    <w:rsid w:val="00FD6AA9"/>
    <w:rsid w:val="00FE1F6C"/>
    <w:rsid w:val="00FE2D20"/>
    <w:rsid w:val="00FE7ECB"/>
    <w:rsid w:val="00FE7FAC"/>
    <w:rsid w:val="00FF6482"/>
    <w:rsid w:val="00FF72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A0932A2"/>
  <w15:docId w15:val="{D0176480-DA70-42D7-B088-18E329BCC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3920"/>
    <w:pPr>
      <w:jc w:val="both"/>
    </w:pPr>
    <w:rPr>
      <w:rFonts w:ascii="Calibri Light" w:hAnsi="Calibri Light"/>
      <w:lang w:val="en-NZ"/>
    </w:rPr>
  </w:style>
  <w:style w:type="paragraph" w:styleId="Heading1">
    <w:name w:val="heading 1"/>
    <w:basedOn w:val="Normal"/>
    <w:next w:val="MEblueintro"/>
    <w:link w:val="Heading1Char"/>
    <w:uiPriority w:val="9"/>
    <w:qFormat/>
    <w:rsid w:val="00FF72BF"/>
    <w:pPr>
      <w:keepNext/>
      <w:keepLines/>
      <w:pageBreakBefore/>
      <w:numPr>
        <w:numId w:val="5"/>
      </w:numPr>
      <w:spacing w:line="240" w:lineRule="auto"/>
      <w:ind w:left="994" w:right="-907" w:hanging="994"/>
      <w:jc w:val="left"/>
      <w:outlineLvl w:val="0"/>
    </w:pPr>
    <w:rPr>
      <w:rFonts w:eastAsiaTheme="majorEastAsia" w:cstheme="minorHAnsi"/>
      <w:b/>
      <w:bCs/>
      <w:color w:val="949300"/>
      <w:sz w:val="56"/>
      <w:szCs w:val="44"/>
    </w:rPr>
  </w:style>
  <w:style w:type="paragraph" w:styleId="Heading2">
    <w:name w:val="heading 2"/>
    <w:basedOn w:val="Normal"/>
    <w:next w:val="Normal"/>
    <w:link w:val="Heading2Char"/>
    <w:uiPriority w:val="9"/>
    <w:unhideWhenUsed/>
    <w:qFormat/>
    <w:rsid w:val="0083201B"/>
    <w:pPr>
      <w:keepNext/>
      <w:keepLines/>
      <w:numPr>
        <w:ilvl w:val="1"/>
        <w:numId w:val="5"/>
      </w:numPr>
      <w:spacing w:before="360"/>
      <w:ind w:left="994" w:hanging="994"/>
      <w:jc w:val="left"/>
      <w:outlineLvl w:val="1"/>
    </w:pPr>
    <w:rPr>
      <w:rFonts w:eastAsiaTheme="majorEastAsia" w:cstheme="minorHAnsi"/>
      <w:b/>
      <w:bCs/>
      <w:sz w:val="36"/>
      <w:szCs w:val="28"/>
    </w:rPr>
  </w:style>
  <w:style w:type="paragraph" w:styleId="Heading3">
    <w:name w:val="heading 3"/>
    <w:basedOn w:val="Normal"/>
    <w:next w:val="Normal"/>
    <w:link w:val="Heading3Char"/>
    <w:uiPriority w:val="9"/>
    <w:unhideWhenUsed/>
    <w:qFormat/>
    <w:rsid w:val="0083201B"/>
    <w:pPr>
      <w:keepNext/>
      <w:keepLines/>
      <w:numPr>
        <w:ilvl w:val="2"/>
        <w:numId w:val="5"/>
      </w:numPr>
      <w:ind w:left="994" w:hanging="994"/>
      <w:jc w:val="left"/>
      <w:outlineLvl w:val="2"/>
    </w:pPr>
    <w:rPr>
      <w:rFonts w:eastAsiaTheme="majorEastAsia" w:cstheme="minorHAnsi"/>
      <w:b/>
      <w:bCs/>
      <w:sz w:val="28"/>
      <w:szCs w:val="24"/>
    </w:rPr>
  </w:style>
  <w:style w:type="paragraph" w:styleId="Heading4">
    <w:name w:val="heading 4"/>
    <w:basedOn w:val="Normal"/>
    <w:next w:val="Normal"/>
    <w:link w:val="Heading4Char"/>
    <w:uiPriority w:val="9"/>
    <w:semiHidden/>
    <w:unhideWhenUsed/>
    <w:rsid w:val="0027718B"/>
    <w:pPr>
      <w:keepNext/>
      <w:keepLines/>
      <w:numPr>
        <w:ilvl w:val="3"/>
        <w:numId w:val="5"/>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7718B"/>
    <w:pPr>
      <w:keepNext/>
      <w:keepLines/>
      <w:numPr>
        <w:ilvl w:val="4"/>
        <w:numId w:val="5"/>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7718B"/>
    <w:pPr>
      <w:keepNext/>
      <w:keepLines/>
      <w:numPr>
        <w:ilvl w:val="5"/>
        <w:numId w:val="5"/>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7718B"/>
    <w:pPr>
      <w:keepNext/>
      <w:keepLines/>
      <w:numPr>
        <w:ilvl w:val="6"/>
        <w:numId w:val="5"/>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7718B"/>
    <w:pPr>
      <w:keepNext/>
      <w:keepLines/>
      <w:numPr>
        <w:ilvl w:val="7"/>
        <w:numId w:val="5"/>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7718B"/>
    <w:pPr>
      <w:keepNext/>
      <w:keepLines/>
      <w:numPr>
        <w:ilvl w:val="8"/>
        <w:numId w:val="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3FA3"/>
    <w:pPr>
      <w:tabs>
        <w:tab w:val="center" w:pos="4680"/>
        <w:tab w:val="right" w:pos="9360"/>
      </w:tabs>
    </w:pPr>
  </w:style>
  <w:style w:type="character" w:customStyle="1" w:styleId="HeaderChar">
    <w:name w:val="Header Char"/>
    <w:basedOn w:val="DefaultParagraphFont"/>
    <w:link w:val="Header"/>
    <w:uiPriority w:val="99"/>
    <w:rsid w:val="00B63FA3"/>
    <w:rPr>
      <w:rFonts w:ascii="Calibri" w:hAnsi="Calibri"/>
      <w:lang w:val="en-NZ"/>
    </w:rPr>
  </w:style>
  <w:style w:type="paragraph" w:styleId="Footer">
    <w:name w:val="footer"/>
    <w:basedOn w:val="Normal"/>
    <w:link w:val="FooterChar"/>
    <w:uiPriority w:val="99"/>
    <w:unhideWhenUsed/>
    <w:rsid w:val="00B63FA3"/>
    <w:pPr>
      <w:tabs>
        <w:tab w:val="center" w:pos="4680"/>
        <w:tab w:val="right" w:pos="9360"/>
      </w:tabs>
    </w:pPr>
  </w:style>
  <w:style w:type="character" w:customStyle="1" w:styleId="FooterChar">
    <w:name w:val="Footer Char"/>
    <w:basedOn w:val="DefaultParagraphFont"/>
    <w:link w:val="Footer"/>
    <w:uiPriority w:val="99"/>
    <w:rsid w:val="00B63FA3"/>
    <w:rPr>
      <w:rFonts w:ascii="Calibri" w:hAnsi="Calibri"/>
      <w:lang w:val="en-NZ"/>
    </w:rPr>
  </w:style>
  <w:style w:type="paragraph" w:customStyle="1" w:styleId="CoverMainHeading">
    <w:name w:val="Cover Main Heading"/>
    <w:basedOn w:val="InsideMainHeading"/>
    <w:link w:val="CoverMainHeadingChar"/>
    <w:rsid w:val="006225BB"/>
    <w:pPr>
      <w:spacing w:after="60"/>
      <w:jc w:val="left"/>
    </w:pPr>
    <w:rPr>
      <w:color w:val="FFFFFF" w:themeColor="background1"/>
      <w:sz w:val="52"/>
    </w:rPr>
  </w:style>
  <w:style w:type="paragraph" w:customStyle="1" w:styleId="CoverSub-Heading">
    <w:name w:val="Cover Sub-Heading"/>
    <w:basedOn w:val="InsideSub-Heading"/>
    <w:link w:val="CoverSub-HeadingChar"/>
    <w:rsid w:val="006225BB"/>
    <w:pPr>
      <w:jc w:val="left"/>
    </w:pPr>
    <w:rPr>
      <w:color w:val="FFFFFF" w:themeColor="background1"/>
      <w:sz w:val="36"/>
    </w:rPr>
  </w:style>
  <w:style w:type="character" w:customStyle="1" w:styleId="CoverMainHeadingChar">
    <w:name w:val="Cover Main Heading Char"/>
    <w:basedOn w:val="DefaultParagraphFont"/>
    <w:link w:val="CoverMainHeading"/>
    <w:rsid w:val="006225BB"/>
    <w:rPr>
      <w:rFonts w:ascii="Calibri Light" w:hAnsi="Calibri Light"/>
      <w:b/>
      <w:color w:val="FFFFFF" w:themeColor="background1"/>
      <w:sz w:val="52"/>
      <w:lang w:val="en-NZ"/>
    </w:rPr>
  </w:style>
  <w:style w:type="paragraph" w:styleId="BalloonText">
    <w:name w:val="Balloon Text"/>
    <w:basedOn w:val="Normal"/>
    <w:link w:val="BalloonTextChar"/>
    <w:uiPriority w:val="99"/>
    <w:semiHidden/>
    <w:unhideWhenUsed/>
    <w:rsid w:val="00B63FA3"/>
    <w:rPr>
      <w:rFonts w:ascii="Tahoma" w:hAnsi="Tahoma" w:cs="Tahoma"/>
      <w:sz w:val="16"/>
      <w:szCs w:val="16"/>
    </w:rPr>
  </w:style>
  <w:style w:type="character" w:customStyle="1" w:styleId="BalloonTextChar">
    <w:name w:val="Balloon Text Char"/>
    <w:basedOn w:val="DefaultParagraphFont"/>
    <w:link w:val="BalloonText"/>
    <w:uiPriority w:val="99"/>
    <w:semiHidden/>
    <w:rsid w:val="00B63FA3"/>
    <w:rPr>
      <w:rFonts w:ascii="Tahoma" w:hAnsi="Tahoma" w:cs="Tahoma"/>
      <w:sz w:val="16"/>
      <w:szCs w:val="16"/>
      <w:lang w:val="en-NZ"/>
    </w:rPr>
  </w:style>
  <w:style w:type="paragraph" w:customStyle="1" w:styleId="MEQuote">
    <w:name w:val="ME Quote"/>
    <w:basedOn w:val="Normal"/>
    <w:next w:val="Normal"/>
    <w:link w:val="MEQuoteChar"/>
    <w:qFormat/>
    <w:rsid w:val="00C16311"/>
    <w:pPr>
      <w:ind w:left="851" w:right="900"/>
      <w:jc w:val="center"/>
    </w:pPr>
    <w:rPr>
      <w:i/>
    </w:rPr>
  </w:style>
  <w:style w:type="paragraph" w:customStyle="1" w:styleId="CoverClientName">
    <w:name w:val="Cover Client Name"/>
    <w:basedOn w:val="InsideClientName"/>
    <w:link w:val="CoverClientNameChar"/>
    <w:rsid w:val="00FF72BF"/>
    <w:pPr>
      <w:jc w:val="left"/>
    </w:pPr>
    <w:rPr>
      <w:b w:val="0"/>
      <w:color w:val="949300"/>
    </w:rPr>
  </w:style>
  <w:style w:type="paragraph" w:styleId="TableofFigures">
    <w:name w:val="table of figures"/>
    <w:basedOn w:val="Normal"/>
    <w:next w:val="Normal"/>
    <w:uiPriority w:val="99"/>
    <w:unhideWhenUsed/>
    <w:rsid w:val="001C456D"/>
    <w:pPr>
      <w:tabs>
        <w:tab w:val="right" w:leader="dot" w:pos="9630"/>
      </w:tabs>
    </w:pPr>
    <w:rPr>
      <w:smallCaps/>
      <w:noProof/>
      <w:sz w:val="24"/>
    </w:rPr>
  </w:style>
  <w:style w:type="character" w:customStyle="1" w:styleId="CoverSub-HeadingChar">
    <w:name w:val="Cover Sub-Heading Char"/>
    <w:basedOn w:val="DefaultParagraphFont"/>
    <w:link w:val="CoverSub-Heading"/>
    <w:rsid w:val="006225BB"/>
    <w:rPr>
      <w:rFonts w:ascii="Calibri Light" w:hAnsi="Calibri Light"/>
      <w:color w:val="FFFFFF" w:themeColor="background1"/>
      <w:sz w:val="36"/>
      <w:lang w:val="en-NZ"/>
    </w:rPr>
  </w:style>
  <w:style w:type="paragraph" w:customStyle="1" w:styleId="MEheading5">
    <w:name w:val="ME heading 5"/>
    <w:basedOn w:val="Normal"/>
    <w:next w:val="Normal"/>
    <w:autoRedefine/>
    <w:semiHidden/>
    <w:qFormat/>
    <w:rsid w:val="0027718B"/>
    <w:pPr>
      <w:numPr>
        <w:ilvl w:val="4"/>
        <w:numId w:val="1"/>
      </w:numPr>
      <w:tabs>
        <w:tab w:val="left" w:pos="1701"/>
      </w:tabs>
      <w:spacing w:before="220" w:after="220" w:line="300" w:lineRule="exact"/>
      <w:ind w:left="1701" w:hanging="1134"/>
    </w:pPr>
    <w:rPr>
      <w:rFonts w:eastAsia="Times New Roman" w:cs="Times New Roman"/>
      <w:b/>
      <w:bCs/>
      <w:color w:val="262626" w:themeColor="text1" w:themeTint="D9"/>
      <w:sz w:val="24"/>
      <w:szCs w:val="24"/>
    </w:rPr>
  </w:style>
  <w:style w:type="numbering" w:customStyle="1" w:styleId="MELIST">
    <w:name w:val="ME LIST"/>
    <w:uiPriority w:val="99"/>
    <w:rsid w:val="008C016C"/>
    <w:pPr>
      <w:numPr>
        <w:numId w:val="1"/>
      </w:numPr>
    </w:pPr>
  </w:style>
  <w:style w:type="character" w:customStyle="1" w:styleId="Heading1Char">
    <w:name w:val="Heading 1 Char"/>
    <w:basedOn w:val="DefaultParagraphFont"/>
    <w:link w:val="Heading1"/>
    <w:uiPriority w:val="9"/>
    <w:rsid w:val="00FF72BF"/>
    <w:rPr>
      <w:rFonts w:ascii="Calibri Light" w:eastAsiaTheme="majorEastAsia" w:hAnsi="Calibri Light" w:cstheme="minorHAnsi"/>
      <w:b/>
      <w:bCs/>
      <w:color w:val="949300"/>
      <w:sz w:val="56"/>
      <w:szCs w:val="44"/>
      <w:lang w:val="en-NZ"/>
    </w:rPr>
  </w:style>
  <w:style w:type="paragraph" w:customStyle="1" w:styleId="MEblueintro">
    <w:name w:val="ME blue intro"/>
    <w:basedOn w:val="Normal"/>
    <w:next w:val="Normal"/>
    <w:autoRedefine/>
    <w:qFormat/>
    <w:rsid w:val="00FF72BF"/>
    <w:pPr>
      <w:spacing w:after="220"/>
    </w:pPr>
    <w:rPr>
      <w:color w:val="949300"/>
      <w:sz w:val="26"/>
      <w:szCs w:val="26"/>
    </w:rPr>
  </w:style>
  <w:style w:type="paragraph" w:customStyle="1" w:styleId="CoverDateStatus">
    <w:name w:val="Cover Date/Status"/>
    <w:basedOn w:val="InsideSub-Heading"/>
    <w:link w:val="CoverDateStatusChar"/>
    <w:rsid w:val="00EC6A89"/>
    <w:rPr>
      <w:color w:val="FFFFFF" w:themeColor="background1"/>
      <w:sz w:val="28"/>
    </w:rPr>
  </w:style>
  <w:style w:type="paragraph" w:styleId="TOC1">
    <w:name w:val="toc 1"/>
    <w:basedOn w:val="Normal"/>
    <w:next w:val="Normal"/>
    <w:autoRedefine/>
    <w:uiPriority w:val="39"/>
    <w:unhideWhenUsed/>
    <w:rsid w:val="001C456D"/>
    <w:pPr>
      <w:tabs>
        <w:tab w:val="left" w:pos="900"/>
        <w:tab w:val="right" w:leader="dot" w:pos="9630"/>
      </w:tabs>
      <w:spacing w:line="280" w:lineRule="atLeast"/>
    </w:pPr>
    <w:rPr>
      <w:rFonts w:cstheme="minorHAnsi"/>
      <w:b/>
      <w:bCs/>
      <w:caps/>
      <w:noProof/>
      <w:sz w:val="24"/>
      <w:szCs w:val="20"/>
    </w:rPr>
  </w:style>
  <w:style w:type="paragraph" w:styleId="TOC2">
    <w:name w:val="toc 2"/>
    <w:basedOn w:val="Normal"/>
    <w:next w:val="Normal"/>
    <w:autoRedefine/>
    <w:uiPriority w:val="39"/>
    <w:unhideWhenUsed/>
    <w:rsid w:val="001C456D"/>
    <w:pPr>
      <w:tabs>
        <w:tab w:val="left" w:pos="880"/>
        <w:tab w:val="right" w:leader="dot" w:pos="9630"/>
      </w:tabs>
    </w:pPr>
    <w:rPr>
      <w:rFonts w:asciiTheme="minorHAnsi" w:hAnsiTheme="minorHAnsi" w:cstheme="minorHAnsi"/>
      <w:smallCaps/>
      <w:noProof/>
      <w:sz w:val="24"/>
      <w:szCs w:val="20"/>
    </w:rPr>
  </w:style>
  <w:style w:type="character" w:customStyle="1" w:styleId="MEQuoteChar">
    <w:name w:val="ME Quote Char"/>
    <w:basedOn w:val="DefaultParagraphFont"/>
    <w:link w:val="MEQuote"/>
    <w:rsid w:val="00C16311"/>
    <w:rPr>
      <w:rFonts w:ascii="Calibri Light" w:hAnsi="Calibri Light"/>
      <w:i/>
      <w:lang w:val="en-NZ"/>
    </w:rPr>
  </w:style>
  <w:style w:type="character" w:styleId="Hyperlink">
    <w:name w:val="Hyperlink"/>
    <w:basedOn w:val="DefaultParagraphFont"/>
    <w:uiPriority w:val="99"/>
    <w:unhideWhenUsed/>
    <w:rsid w:val="008831D3"/>
    <w:rPr>
      <w:color w:val="0000FF" w:themeColor="hyperlink"/>
      <w:u w:val="single"/>
    </w:rPr>
  </w:style>
  <w:style w:type="paragraph" w:styleId="TOCHeading">
    <w:name w:val="TOC Heading"/>
    <w:basedOn w:val="Heading1"/>
    <w:next w:val="Normal"/>
    <w:uiPriority w:val="39"/>
    <w:unhideWhenUsed/>
    <w:qFormat/>
    <w:rsid w:val="00126302"/>
    <w:pPr>
      <w:spacing w:line="276" w:lineRule="auto"/>
      <w:outlineLvl w:val="9"/>
    </w:pPr>
    <w:rPr>
      <w:lang w:val="en-US" w:eastAsia="ja-JP"/>
    </w:rPr>
  </w:style>
  <w:style w:type="character" w:customStyle="1" w:styleId="Heading3Char">
    <w:name w:val="Heading 3 Char"/>
    <w:basedOn w:val="DefaultParagraphFont"/>
    <w:link w:val="Heading3"/>
    <w:uiPriority w:val="9"/>
    <w:rsid w:val="0083201B"/>
    <w:rPr>
      <w:rFonts w:ascii="Calibri Light" w:eastAsiaTheme="majorEastAsia" w:hAnsi="Calibri Light" w:cstheme="minorHAnsi"/>
      <w:b/>
      <w:bCs/>
      <w:sz w:val="28"/>
      <w:szCs w:val="24"/>
      <w:lang w:val="en-NZ"/>
    </w:rPr>
  </w:style>
  <w:style w:type="character" w:customStyle="1" w:styleId="Heading2Char">
    <w:name w:val="Heading 2 Char"/>
    <w:basedOn w:val="DefaultParagraphFont"/>
    <w:link w:val="Heading2"/>
    <w:uiPriority w:val="9"/>
    <w:rsid w:val="0083201B"/>
    <w:rPr>
      <w:rFonts w:ascii="Calibri Light" w:eastAsiaTheme="majorEastAsia" w:hAnsi="Calibri Light" w:cstheme="minorHAnsi"/>
      <w:b/>
      <w:bCs/>
      <w:sz w:val="36"/>
      <w:szCs w:val="28"/>
      <w:lang w:val="en-NZ"/>
    </w:rPr>
  </w:style>
  <w:style w:type="paragraph" w:styleId="FootnoteText">
    <w:name w:val="footnote text"/>
    <w:basedOn w:val="Normal"/>
    <w:link w:val="FootnoteTextChar"/>
    <w:uiPriority w:val="99"/>
    <w:unhideWhenUsed/>
    <w:qFormat/>
    <w:rsid w:val="004A5E61"/>
    <w:pPr>
      <w:spacing w:after="0" w:line="260" w:lineRule="atLeast"/>
    </w:pPr>
    <w:rPr>
      <w:sz w:val="18"/>
      <w:szCs w:val="20"/>
    </w:rPr>
  </w:style>
  <w:style w:type="character" w:customStyle="1" w:styleId="FootnoteTextChar">
    <w:name w:val="Footnote Text Char"/>
    <w:basedOn w:val="DefaultParagraphFont"/>
    <w:link w:val="FootnoteText"/>
    <w:uiPriority w:val="99"/>
    <w:rsid w:val="004A5E61"/>
    <w:rPr>
      <w:rFonts w:ascii="Calibri Light" w:hAnsi="Calibri Light"/>
      <w:sz w:val="18"/>
      <w:szCs w:val="20"/>
      <w:lang w:val="en-NZ"/>
    </w:rPr>
  </w:style>
  <w:style w:type="character" w:styleId="FootnoteReference">
    <w:name w:val="footnote reference"/>
    <w:basedOn w:val="MEFootnoteSuperscriptChar"/>
    <w:uiPriority w:val="99"/>
    <w:unhideWhenUsed/>
    <w:rsid w:val="004A5E61"/>
    <w:rPr>
      <w:rFonts w:ascii="Calibri Light" w:hAnsi="Calibri Light"/>
      <w:color w:val="000000" w:themeColor="text1"/>
      <w:vertAlign w:val="superscript"/>
      <w:lang w:val="en-NZ"/>
    </w:rPr>
  </w:style>
  <w:style w:type="paragraph" w:styleId="Caption">
    <w:name w:val="caption"/>
    <w:basedOn w:val="Normal"/>
    <w:next w:val="Graphicpaste"/>
    <w:uiPriority w:val="35"/>
    <w:unhideWhenUsed/>
    <w:rsid w:val="00FF72BF"/>
    <w:pPr>
      <w:keepNext/>
      <w:spacing w:before="360"/>
    </w:pPr>
    <w:rPr>
      <w:bCs/>
      <w:color w:val="949300"/>
      <w:szCs w:val="28"/>
    </w:rPr>
  </w:style>
  <w:style w:type="paragraph" w:customStyle="1" w:styleId="Style1">
    <w:name w:val="Style1"/>
    <w:basedOn w:val="FootnoteText"/>
    <w:link w:val="Style1Char"/>
    <w:rsid w:val="00E44787"/>
  </w:style>
  <w:style w:type="character" w:customStyle="1" w:styleId="Style1Char">
    <w:name w:val="Style1 Char"/>
    <w:basedOn w:val="FootnoteTextChar"/>
    <w:link w:val="Style1"/>
    <w:rsid w:val="00E44787"/>
    <w:rPr>
      <w:rFonts w:ascii="Calibri" w:hAnsi="Calibri"/>
      <w:sz w:val="20"/>
      <w:szCs w:val="20"/>
      <w:lang w:val="en-NZ"/>
    </w:rPr>
  </w:style>
  <w:style w:type="character" w:customStyle="1" w:styleId="Heading4Char">
    <w:name w:val="Heading 4 Char"/>
    <w:basedOn w:val="DefaultParagraphFont"/>
    <w:link w:val="Heading4"/>
    <w:uiPriority w:val="9"/>
    <w:semiHidden/>
    <w:rsid w:val="0027718B"/>
    <w:rPr>
      <w:rFonts w:asciiTheme="majorHAnsi" w:eastAsiaTheme="majorEastAsia" w:hAnsiTheme="majorHAnsi" w:cstheme="majorBidi"/>
      <w:b/>
      <w:bCs/>
      <w:i/>
      <w:iCs/>
      <w:color w:val="4F81BD" w:themeColor="accent1"/>
      <w:lang w:val="en-NZ"/>
    </w:rPr>
  </w:style>
  <w:style w:type="character" w:customStyle="1" w:styleId="Heading5Char">
    <w:name w:val="Heading 5 Char"/>
    <w:basedOn w:val="DefaultParagraphFont"/>
    <w:link w:val="Heading5"/>
    <w:uiPriority w:val="9"/>
    <w:semiHidden/>
    <w:rsid w:val="0027718B"/>
    <w:rPr>
      <w:rFonts w:asciiTheme="majorHAnsi" w:eastAsiaTheme="majorEastAsia" w:hAnsiTheme="majorHAnsi" w:cstheme="majorBidi"/>
      <w:color w:val="243F60" w:themeColor="accent1" w:themeShade="7F"/>
      <w:lang w:val="en-NZ"/>
    </w:rPr>
  </w:style>
  <w:style w:type="character" w:customStyle="1" w:styleId="Heading6Char">
    <w:name w:val="Heading 6 Char"/>
    <w:basedOn w:val="DefaultParagraphFont"/>
    <w:link w:val="Heading6"/>
    <w:uiPriority w:val="9"/>
    <w:semiHidden/>
    <w:rsid w:val="0027718B"/>
    <w:rPr>
      <w:rFonts w:asciiTheme="majorHAnsi" w:eastAsiaTheme="majorEastAsia" w:hAnsiTheme="majorHAnsi" w:cstheme="majorBidi"/>
      <w:i/>
      <w:iCs/>
      <w:color w:val="243F60" w:themeColor="accent1" w:themeShade="7F"/>
      <w:lang w:val="en-NZ"/>
    </w:rPr>
  </w:style>
  <w:style w:type="character" w:customStyle="1" w:styleId="Heading7Char">
    <w:name w:val="Heading 7 Char"/>
    <w:basedOn w:val="DefaultParagraphFont"/>
    <w:link w:val="Heading7"/>
    <w:uiPriority w:val="9"/>
    <w:semiHidden/>
    <w:rsid w:val="0027718B"/>
    <w:rPr>
      <w:rFonts w:asciiTheme="majorHAnsi" w:eastAsiaTheme="majorEastAsia" w:hAnsiTheme="majorHAnsi" w:cstheme="majorBidi"/>
      <w:i/>
      <w:iCs/>
      <w:color w:val="404040" w:themeColor="text1" w:themeTint="BF"/>
      <w:lang w:val="en-NZ"/>
    </w:rPr>
  </w:style>
  <w:style w:type="character" w:customStyle="1" w:styleId="Heading8Char">
    <w:name w:val="Heading 8 Char"/>
    <w:basedOn w:val="DefaultParagraphFont"/>
    <w:link w:val="Heading8"/>
    <w:uiPriority w:val="9"/>
    <w:semiHidden/>
    <w:rsid w:val="0027718B"/>
    <w:rPr>
      <w:rFonts w:asciiTheme="majorHAnsi" w:eastAsiaTheme="majorEastAsia" w:hAnsiTheme="majorHAnsi" w:cstheme="majorBidi"/>
      <w:color w:val="404040" w:themeColor="text1" w:themeTint="BF"/>
      <w:sz w:val="20"/>
      <w:szCs w:val="20"/>
      <w:lang w:val="en-NZ"/>
    </w:rPr>
  </w:style>
  <w:style w:type="character" w:customStyle="1" w:styleId="Heading9Char">
    <w:name w:val="Heading 9 Char"/>
    <w:basedOn w:val="DefaultParagraphFont"/>
    <w:link w:val="Heading9"/>
    <w:uiPriority w:val="9"/>
    <w:semiHidden/>
    <w:rsid w:val="0027718B"/>
    <w:rPr>
      <w:rFonts w:asciiTheme="majorHAnsi" w:eastAsiaTheme="majorEastAsia" w:hAnsiTheme="majorHAnsi" w:cstheme="majorBidi"/>
      <w:i/>
      <w:iCs/>
      <w:color w:val="404040" w:themeColor="text1" w:themeTint="BF"/>
      <w:sz w:val="20"/>
      <w:szCs w:val="20"/>
      <w:lang w:val="en-NZ"/>
    </w:rPr>
  </w:style>
  <w:style w:type="character" w:customStyle="1" w:styleId="CoverClientNameChar">
    <w:name w:val="Cover Client Name Char"/>
    <w:basedOn w:val="DefaultParagraphFont"/>
    <w:link w:val="CoverClientName"/>
    <w:rsid w:val="00FF72BF"/>
    <w:rPr>
      <w:rFonts w:ascii="Calibri Light" w:hAnsi="Calibri Light"/>
      <w:color w:val="949300"/>
      <w:sz w:val="52"/>
      <w:lang w:val="en-NZ"/>
    </w:rPr>
  </w:style>
  <w:style w:type="paragraph" w:customStyle="1" w:styleId="InsideMainHeading">
    <w:name w:val="Inside Main Heading"/>
    <w:basedOn w:val="Normal"/>
    <w:link w:val="InsideMainHeadingChar"/>
    <w:rsid w:val="00280432"/>
    <w:pPr>
      <w:spacing w:line="240" w:lineRule="auto"/>
    </w:pPr>
    <w:rPr>
      <w:b/>
      <w:sz w:val="56"/>
    </w:rPr>
  </w:style>
  <w:style w:type="character" w:customStyle="1" w:styleId="CoverDateStatusChar">
    <w:name w:val="Cover Date/Status Char"/>
    <w:basedOn w:val="DefaultParagraphFont"/>
    <w:link w:val="CoverDateStatus"/>
    <w:rsid w:val="00EC6A89"/>
    <w:rPr>
      <w:rFonts w:ascii="Calibri Light" w:hAnsi="Calibri Light"/>
      <w:color w:val="FFFFFF" w:themeColor="background1"/>
      <w:sz w:val="28"/>
      <w:lang w:val="en-NZ"/>
    </w:rPr>
  </w:style>
  <w:style w:type="paragraph" w:customStyle="1" w:styleId="InsideSub-Heading">
    <w:name w:val="Inside Sub-Heading"/>
    <w:basedOn w:val="Normal"/>
    <w:link w:val="InsideSub-HeadingChar"/>
    <w:rsid w:val="00280432"/>
    <w:pPr>
      <w:spacing w:after="0" w:line="240" w:lineRule="auto"/>
    </w:pPr>
    <w:rPr>
      <w:sz w:val="52"/>
    </w:rPr>
  </w:style>
  <w:style w:type="character" w:customStyle="1" w:styleId="InsideMainHeadingChar">
    <w:name w:val="Inside Main Heading Char"/>
    <w:basedOn w:val="DefaultParagraphFont"/>
    <w:link w:val="InsideMainHeading"/>
    <w:rsid w:val="00280432"/>
    <w:rPr>
      <w:rFonts w:ascii="Calibri" w:hAnsi="Calibri"/>
      <w:b/>
      <w:sz w:val="56"/>
      <w:lang w:val="en-NZ"/>
    </w:rPr>
  </w:style>
  <w:style w:type="paragraph" w:customStyle="1" w:styleId="InsideClientName">
    <w:name w:val="Inside Client Name"/>
    <w:basedOn w:val="Normal"/>
    <w:link w:val="InsideClientNameChar"/>
    <w:rsid w:val="00280432"/>
    <w:pPr>
      <w:spacing w:after="0" w:line="240" w:lineRule="auto"/>
    </w:pPr>
    <w:rPr>
      <w:b/>
      <w:color w:val="0179BB"/>
      <w:sz w:val="52"/>
    </w:rPr>
  </w:style>
  <w:style w:type="character" w:customStyle="1" w:styleId="InsideSub-HeadingChar">
    <w:name w:val="Inside Sub-Heading Char"/>
    <w:basedOn w:val="DefaultParagraphFont"/>
    <w:link w:val="InsideSub-Heading"/>
    <w:rsid w:val="00280432"/>
    <w:rPr>
      <w:rFonts w:ascii="Calibri" w:hAnsi="Calibri"/>
      <w:sz w:val="52"/>
      <w:lang w:val="en-NZ"/>
    </w:rPr>
  </w:style>
  <w:style w:type="paragraph" w:customStyle="1" w:styleId="InsideDocumentDetails">
    <w:name w:val="Inside Document Details"/>
    <w:basedOn w:val="Normal"/>
    <w:link w:val="InsideDocumentDetailsChar"/>
    <w:rsid w:val="009905B6"/>
    <w:pPr>
      <w:spacing w:after="120" w:line="240" w:lineRule="auto"/>
    </w:pPr>
    <w:rPr>
      <w:sz w:val="24"/>
      <w:szCs w:val="24"/>
    </w:rPr>
  </w:style>
  <w:style w:type="character" w:customStyle="1" w:styleId="InsideClientNameChar">
    <w:name w:val="Inside Client Name Char"/>
    <w:basedOn w:val="DefaultParagraphFont"/>
    <w:link w:val="InsideClientName"/>
    <w:rsid w:val="00280432"/>
    <w:rPr>
      <w:rFonts w:ascii="Calibri" w:hAnsi="Calibri"/>
      <w:b/>
      <w:color w:val="0179BB"/>
      <w:sz w:val="52"/>
      <w:lang w:val="en-NZ"/>
    </w:rPr>
  </w:style>
  <w:style w:type="character" w:customStyle="1" w:styleId="InsideDocumentDetailsChar">
    <w:name w:val="Inside Document Details Char"/>
    <w:basedOn w:val="DefaultParagraphFont"/>
    <w:link w:val="InsideDocumentDetails"/>
    <w:rsid w:val="009905B6"/>
    <w:rPr>
      <w:rFonts w:ascii="Calibri" w:hAnsi="Calibri"/>
      <w:sz w:val="24"/>
      <w:szCs w:val="24"/>
      <w:lang w:val="en-NZ"/>
    </w:rPr>
  </w:style>
  <w:style w:type="paragraph" w:customStyle="1" w:styleId="InsideAddress">
    <w:name w:val="Inside Address"/>
    <w:basedOn w:val="Normal"/>
    <w:link w:val="InsideAddressChar"/>
    <w:rsid w:val="00280432"/>
    <w:pPr>
      <w:spacing w:after="0"/>
      <w:jc w:val="right"/>
    </w:pPr>
  </w:style>
  <w:style w:type="paragraph" w:customStyle="1" w:styleId="ContentsFigureHeading">
    <w:name w:val="Contents Figure Heading"/>
    <w:basedOn w:val="Normal"/>
    <w:link w:val="ContentsFigureHeadingChar"/>
    <w:rsid w:val="00FF72BF"/>
    <w:pPr>
      <w:spacing w:line="240" w:lineRule="auto"/>
    </w:pPr>
    <w:rPr>
      <w:b/>
      <w:color w:val="949300"/>
      <w:sz w:val="56"/>
      <w:szCs w:val="72"/>
    </w:rPr>
  </w:style>
  <w:style w:type="character" w:customStyle="1" w:styleId="InsideAddressChar">
    <w:name w:val="Inside Address Char"/>
    <w:basedOn w:val="DefaultParagraphFont"/>
    <w:link w:val="InsideAddress"/>
    <w:rsid w:val="00280432"/>
    <w:rPr>
      <w:rFonts w:ascii="Calibri" w:hAnsi="Calibri"/>
      <w:lang w:val="en-NZ"/>
    </w:rPr>
  </w:style>
  <w:style w:type="character" w:customStyle="1" w:styleId="ContentsFigureHeadingChar">
    <w:name w:val="Contents Figure Heading Char"/>
    <w:basedOn w:val="DefaultParagraphFont"/>
    <w:link w:val="ContentsFigureHeading"/>
    <w:rsid w:val="00FF72BF"/>
    <w:rPr>
      <w:rFonts w:ascii="Calibri Light" w:hAnsi="Calibri Light"/>
      <w:b/>
      <w:color w:val="949300"/>
      <w:sz w:val="56"/>
      <w:szCs w:val="72"/>
      <w:lang w:val="en-NZ"/>
    </w:rPr>
  </w:style>
  <w:style w:type="paragraph" w:styleId="ListParagraph">
    <w:name w:val="List Paragraph"/>
    <w:basedOn w:val="Normal"/>
    <w:link w:val="ListParagraphChar"/>
    <w:uiPriority w:val="34"/>
    <w:qFormat/>
    <w:rsid w:val="002241E9"/>
    <w:pPr>
      <w:ind w:left="720"/>
      <w:contextualSpacing/>
    </w:pPr>
  </w:style>
  <w:style w:type="paragraph" w:customStyle="1" w:styleId="Bullets">
    <w:name w:val="Bullets"/>
    <w:basedOn w:val="ListParagraph"/>
    <w:link w:val="BulletsChar"/>
    <w:rsid w:val="002241E9"/>
    <w:pPr>
      <w:numPr>
        <w:numId w:val="7"/>
      </w:numPr>
    </w:pPr>
  </w:style>
  <w:style w:type="character" w:customStyle="1" w:styleId="ListParagraphChar">
    <w:name w:val="List Paragraph Char"/>
    <w:basedOn w:val="DefaultParagraphFont"/>
    <w:link w:val="ListParagraph"/>
    <w:uiPriority w:val="34"/>
    <w:rsid w:val="002241E9"/>
    <w:rPr>
      <w:rFonts w:ascii="Calibri" w:hAnsi="Calibri"/>
      <w:lang w:val="en-NZ"/>
    </w:rPr>
  </w:style>
  <w:style w:type="character" w:customStyle="1" w:styleId="BulletsChar">
    <w:name w:val="Bullets Char"/>
    <w:basedOn w:val="ListParagraphChar"/>
    <w:link w:val="Bullets"/>
    <w:rsid w:val="002241E9"/>
    <w:rPr>
      <w:rFonts w:ascii="Calibri" w:hAnsi="Calibri"/>
      <w:lang w:val="en-NZ"/>
    </w:rPr>
  </w:style>
  <w:style w:type="paragraph" w:customStyle="1" w:styleId="Graphicpaste">
    <w:name w:val="Graphic paste"/>
    <w:basedOn w:val="Normal"/>
    <w:next w:val="Normal"/>
    <w:link w:val="GraphicpasteChar"/>
    <w:rsid w:val="001C456D"/>
    <w:pPr>
      <w:spacing w:after="360"/>
    </w:pPr>
  </w:style>
  <w:style w:type="paragraph" w:customStyle="1" w:styleId="Sub-heading">
    <w:name w:val="Sub-heading"/>
    <w:basedOn w:val="Normal"/>
    <w:next w:val="Normal"/>
    <w:link w:val="Sub-headingChar"/>
    <w:qFormat/>
    <w:rsid w:val="001C456D"/>
    <w:pPr>
      <w:keepNext/>
    </w:pPr>
    <w:rPr>
      <w:b/>
    </w:rPr>
  </w:style>
  <w:style w:type="character" w:customStyle="1" w:styleId="GraphicpasteChar">
    <w:name w:val="Graphic paste Char"/>
    <w:basedOn w:val="DefaultParagraphFont"/>
    <w:link w:val="Graphicpaste"/>
    <w:rsid w:val="001C456D"/>
    <w:rPr>
      <w:rFonts w:ascii="Calibri Light" w:hAnsi="Calibri Light"/>
      <w:lang w:val="en-NZ"/>
    </w:rPr>
  </w:style>
  <w:style w:type="paragraph" w:customStyle="1" w:styleId="MEBullet">
    <w:name w:val="ME Bullet"/>
    <w:basedOn w:val="ListParagraph"/>
    <w:link w:val="MEBulletChar"/>
    <w:qFormat/>
    <w:rsid w:val="00FF72BF"/>
    <w:pPr>
      <w:numPr>
        <w:numId w:val="9"/>
      </w:numPr>
      <w:spacing w:after="180"/>
      <w:contextualSpacing w:val="0"/>
    </w:pPr>
  </w:style>
  <w:style w:type="character" w:customStyle="1" w:styleId="Sub-headingChar">
    <w:name w:val="Sub-heading Char"/>
    <w:basedOn w:val="DefaultParagraphFont"/>
    <w:link w:val="Sub-heading"/>
    <w:rsid w:val="001C456D"/>
    <w:rPr>
      <w:rFonts w:ascii="Calibri Light" w:hAnsi="Calibri Light"/>
      <w:b/>
      <w:lang w:val="en-NZ"/>
    </w:rPr>
  </w:style>
  <w:style w:type="paragraph" w:customStyle="1" w:styleId="abclist">
    <w:name w:val="abc list"/>
    <w:basedOn w:val="ListParagraph"/>
    <w:link w:val="abclistChar"/>
    <w:qFormat/>
    <w:rsid w:val="007B3507"/>
    <w:pPr>
      <w:numPr>
        <w:numId w:val="10"/>
      </w:numPr>
      <w:spacing w:after="180"/>
      <w:ind w:left="1418" w:hanging="357"/>
      <w:contextualSpacing w:val="0"/>
    </w:pPr>
  </w:style>
  <w:style w:type="character" w:customStyle="1" w:styleId="MEBulletChar">
    <w:name w:val="ME Bullet Char"/>
    <w:basedOn w:val="ListParagraphChar"/>
    <w:link w:val="MEBullet"/>
    <w:rsid w:val="00FF72BF"/>
    <w:rPr>
      <w:rFonts w:ascii="Calibri Light" w:hAnsi="Calibri Light"/>
      <w:lang w:val="en-NZ"/>
    </w:rPr>
  </w:style>
  <w:style w:type="paragraph" w:customStyle="1" w:styleId="romannolist">
    <w:name w:val="roman no list"/>
    <w:basedOn w:val="ListParagraph"/>
    <w:link w:val="romannolistChar"/>
    <w:qFormat/>
    <w:rsid w:val="007B3507"/>
    <w:pPr>
      <w:numPr>
        <w:numId w:val="12"/>
      </w:numPr>
      <w:spacing w:after="180"/>
      <w:ind w:left="1418" w:hanging="357"/>
      <w:contextualSpacing w:val="0"/>
    </w:pPr>
  </w:style>
  <w:style w:type="character" w:customStyle="1" w:styleId="abclistChar">
    <w:name w:val="abc list Char"/>
    <w:basedOn w:val="ListParagraphChar"/>
    <w:link w:val="abclist"/>
    <w:rsid w:val="007B3507"/>
    <w:rPr>
      <w:rFonts w:ascii="Calibri Light" w:hAnsi="Calibri Light"/>
      <w:lang w:val="en-NZ"/>
    </w:rPr>
  </w:style>
  <w:style w:type="paragraph" w:customStyle="1" w:styleId="InsideWebAddress">
    <w:name w:val="Inside Web Address"/>
    <w:basedOn w:val="Normal"/>
    <w:link w:val="InsideWebAddressChar"/>
    <w:rsid w:val="00F03ED6"/>
    <w:pPr>
      <w:ind w:left="180"/>
      <w:jc w:val="left"/>
    </w:pPr>
    <w:rPr>
      <w:color w:val="FFFFFF" w:themeColor="background1"/>
      <w:sz w:val="48"/>
    </w:rPr>
  </w:style>
  <w:style w:type="character" w:customStyle="1" w:styleId="romannolistChar">
    <w:name w:val="roman no list Char"/>
    <w:basedOn w:val="ListParagraphChar"/>
    <w:link w:val="romannolist"/>
    <w:rsid w:val="007B3507"/>
    <w:rPr>
      <w:rFonts w:ascii="Calibri Light" w:hAnsi="Calibri Light"/>
      <w:lang w:val="en-NZ"/>
    </w:rPr>
  </w:style>
  <w:style w:type="character" w:customStyle="1" w:styleId="InsideWebAddressChar">
    <w:name w:val="Inside Web Address Char"/>
    <w:basedOn w:val="DefaultParagraphFont"/>
    <w:link w:val="InsideWebAddress"/>
    <w:rsid w:val="00F03ED6"/>
    <w:rPr>
      <w:rFonts w:ascii="Calibri" w:hAnsi="Calibri"/>
      <w:color w:val="FFFFFF" w:themeColor="background1"/>
      <w:sz w:val="48"/>
      <w:lang w:val="en-NZ"/>
    </w:rPr>
  </w:style>
  <w:style w:type="paragraph" w:customStyle="1" w:styleId="MEFootnoteSuperscript">
    <w:name w:val="ME Footnote Superscript"/>
    <w:basedOn w:val="Normal"/>
    <w:link w:val="MEFootnoteSuperscriptChar"/>
    <w:rsid w:val="00336903"/>
    <w:rPr>
      <w:color w:val="0179BB"/>
      <w:vertAlign w:val="superscript"/>
    </w:rPr>
  </w:style>
  <w:style w:type="paragraph" w:customStyle="1" w:styleId="FootnoteText1">
    <w:name w:val="Footnote Text1"/>
    <w:basedOn w:val="FootnoteText"/>
    <w:link w:val="FootnotetextChar0"/>
    <w:uiPriority w:val="99"/>
    <w:qFormat/>
    <w:rsid w:val="00336903"/>
    <w:pPr>
      <w:spacing w:after="120" w:line="240" w:lineRule="atLeast"/>
    </w:pPr>
  </w:style>
  <w:style w:type="character" w:customStyle="1" w:styleId="MEFootnoteSuperscriptChar">
    <w:name w:val="ME Footnote Superscript Char"/>
    <w:basedOn w:val="DefaultParagraphFont"/>
    <w:link w:val="MEFootnoteSuperscript"/>
    <w:rsid w:val="00336903"/>
    <w:rPr>
      <w:rFonts w:ascii="Calibri" w:hAnsi="Calibri"/>
      <w:color w:val="0179BB"/>
      <w:vertAlign w:val="superscript"/>
      <w:lang w:val="en-NZ"/>
    </w:rPr>
  </w:style>
  <w:style w:type="character" w:customStyle="1" w:styleId="FootnotetextChar0">
    <w:name w:val="Footnote text Char"/>
    <w:basedOn w:val="FootnoteTextChar"/>
    <w:link w:val="FootnoteText1"/>
    <w:uiPriority w:val="99"/>
    <w:rsid w:val="00336903"/>
    <w:rPr>
      <w:rFonts w:ascii="Calibri" w:hAnsi="Calibri"/>
      <w:sz w:val="18"/>
      <w:szCs w:val="20"/>
      <w:lang w:val="en-NZ"/>
    </w:rPr>
  </w:style>
  <w:style w:type="paragraph" w:customStyle="1" w:styleId="123list">
    <w:name w:val="123 list"/>
    <w:basedOn w:val="ListParagraph"/>
    <w:link w:val="123listChar"/>
    <w:qFormat/>
    <w:rsid w:val="007B3507"/>
    <w:pPr>
      <w:numPr>
        <w:numId w:val="14"/>
      </w:numPr>
      <w:spacing w:after="180"/>
      <w:ind w:left="1418" w:hanging="357"/>
      <w:contextualSpacing w:val="0"/>
    </w:pPr>
  </w:style>
  <w:style w:type="character" w:customStyle="1" w:styleId="123listChar">
    <w:name w:val="123 list Char"/>
    <w:basedOn w:val="ListParagraphChar"/>
    <w:link w:val="123list"/>
    <w:rsid w:val="007B3507"/>
    <w:rPr>
      <w:rFonts w:ascii="Calibri Light" w:hAnsi="Calibri Light"/>
      <w:lang w:val="en-NZ"/>
    </w:rPr>
  </w:style>
  <w:style w:type="character" w:styleId="FollowedHyperlink">
    <w:name w:val="FollowedHyperlink"/>
    <w:basedOn w:val="DefaultParagraphFont"/>
    <w:uiPriority w:val="99"/>
    <w:semiHidden/>
    <w:unhideWhenUsed/>
    <w:rsid w:val="007A2A12"/>
    <w:rPr>
      <w:color w:val="800080" w:themeColor="followedHyperlink"/>
      <w:u w:val="single"/>
    </w:rPr>
  </w:style>
  <w:style w:type="character" w:styleId="CommentReference">
    <w:name w:val="annotation reference"/>
    <w:basedOn w:val="DefaultParagraphFont"/>
    <w:uiPriority w:val="99"/>
    <w:semiHidden/>
    <w:unhideWhenUsed/>
    <w:rsid w:val="006475DF"/>
    <w:rPr>
      <w:sz w:val="16"/>
      <w:szCs w:val="16"/>
    </w:rPr>
  </w:style>
  <w:style w:type="paragraph" w:styleId="CommentText">
    <w:name w:val="annotation text"/>
    <w:basedOn w:val="Normal"/>
    <w:link w:val="CommentTextChar"/>
    <w:uiPriority w:val="99"/>
    <w:semiHidden/>
    <w:unhideWhenUsed/>
    <w:rsid w:val="006475DF"/>
    <w:pPr>
      <w:spacing w:after="160" w:line="240" w:lineRule="auto"/>
      <w:jc w:val="left"/>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6475DF"/>
    <w:rPr>
      <w:sz w:val="20"/>
      <w:szCs w:val="20"/>
      <w:lang w:val="en-NZ"/>
    </w:rPr>
  </w:style>
  <w:style w:type="paragraph" w:styleId="CommentSubject">
    <w:name w:val="annotation subject"/>
    <w:basedOn w:val="CommentText"/>
    <w:next w:val="CommentText"/>
    <w:link w:val="CommentSubjectChar"/>
    <w:uiPriority w:val="99"/>
    <w:semiHidden/>
    <w:unhideWhenUsed/>
    <w:rsid w:val="006475DF"/>
    <w:rPr>
      <w:b/>
      <w:bCs/>
    </w:rPr>
  </w:style>
  <w:style w:type="character" w:customStyle="1" w:styleId="CommentSubjectChar">
    <w:name w:val="Comment Subject Char"/>
    <w:basedOn w:val="CommentTextChar"/>
    <w:link w:val="CommentSubject"/>
    <w:uiPriority w:val="99"/>
    <w:semiHidden/>
    <w:rsid w:val="006475DF"/>
    <w:rPr>
      <w:b/>
      <w:bCs/>
      <w:sz w:val="20"/>
      <w:szCs w:val="20"/>
      <w:lang w:val="en-NZ"/>
    </w:rPr>
  </w:style>
  <w:style w:type="table" w:styleId="TableGrid">
    <w:name w:val="Table Grid"/>
    <w:basedOn w:val="TableNormal"/>
    <w:uiPriority w:val="39"/>
    <w:rsid w:val="006475DF"/>
    <w:pPr>
      <w:spacing w:after="0" w:line="240" w:lineRule="auto"/>
    </w:pPr>
    <w:rPr>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5">
    <w:name w:val="Grid Table 5 Dark Accent 5"/>
    <w:basedOn w:val="TableNormal"/>
    <w:uiPriority w:val="50"/>
    <w:rsid w:val="006475DF"/>
    <w:pPr>
      <w:spacing w:after="0" w:line="240" w:lineRule="auto"/>
    </w:pPr>
    <w:rPr>
      <w:lang w:val="en-NZ"/>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styleId="Strong">
    <w:name w:val="Strong"/>
    <w:basedOn w:val="DefaultParagraphFont"/>
    <w:uiPriority w:val="22"/>
    <w:qFormat/>
    <w:rsid w:val="006475DF"/>
    <w:rPr>
      <w:b/>
      <w:bCs/>
    </w:rPr>
  </w:style>
  <w:style w:type="paragraph" w:styleId="TOC3">
    <w:name w:val="toc 3"/>
    <w:basedOn w:val="Normal"/>
    <w:next w:val="Normal"/>
    <w:autoRedefine/>
    <w:uiPriority w:val="39"/>
    <w:unhideWhenUsed/>
    <w:rsid w:val="00334FA0"/>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arketeconomics.co.nz/"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rketeconomics.co.nz/"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header" Target="header3.xml"/><Relationship Id="rId8" Type="http://schemas.openxmlformats.org/officeDocument/2006/relationships/image" Target="media/image1.tiff"/><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creatingfutures.org.nz/resources/publication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U:\Home\Projects\EW042.19%20WISE%20&amp;%20EFM%20Update%20and%20VA%20&amp;%20Employment%20Projections\Projections%20Pascal%202021\Report\Research%20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A3F217-B8E3-4179-ADBC-D47AA1167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Research report template.dotx</Template>
  <TotalTime>0</TotalTime>
  <Pages>44</Pages>
  <Words>7603</Words>
  <Characters>43342</Characters>
  <Application>Microsoft Office Word</Application>
  <DocSecurity>4</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Pascal Cheon</dc:creator>
  <cp:lastModifiedBy>Beat Huser</cp:lastModifiedBy>
  <cp:revision>2</cp:revision>
  <cp:lastPrinted>2012-12-20T02:47:00Z</cp:lastPrinted>
  <dcterms:created xsi:type="dcterms:W3CDTF">2021-05-02T10:02:00Z</dcterms:created>
  <dcterms:modified xsi:type="dcterms:W3CDTF">2021-05-02T10:02:00Z</dcterms:modified>
</cp:coreProperties>
</file>