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D9427" w14:textId="4B44927B" w:rsidR="00615ECF" w:rsidRPr="00615ECF" w:rsidRDefault="00615ECF">
      <w:pPr>
        <w:rPr>
          <w:b/>
          <w:bCs/>
          <w:sz w:val="28"/>
          <w:szCs w:val="28"/>
        </w:rPr>
      </w:pPr>
      <w:r w:rsidRPr="00615ECF">
        <w:rPr>
          <w:b/>
          <w:bCs/>
          <w:sz w:val="28"/>
          <w:szCs w:val="28"/>
        </w:rPr>
        <w:t>Update email to Waikato Projections Group</w:t>
      </w:r>
      <w:r>
        <w:rPr>
          <w:b/>
          <w:bCs/>
          <w:sz w:val="28"/>
          <w:szCs w:val="28"/>
        </w:rPr>
        <w:t xml:space="preserve"> – 15 July 2020</w:t>
      </w:r>
    </w:p>
    <w:p w14:paraId="0E406D60" w14:textId="77777777" w:rsidR="00615ECF" w:rsidRDefault="00615ECF" w:rsidP="00615ECF">
      <w:pPr>
        <w:rPr>
          <w:rFonts w:asciiTheme="minorHAnsi" w:hAnsiTheme="minorHAnsi" w:cstheme="minorBidi"/>
        </w:rPr>
      </w:pPr>
    </w:p>
    <w:p w14:paraId="0DE4DA21" w14:textId="7D579BC3" w:rsidR="00615ECF" w:rsidRDefault="00615ECF" w:rsidP="00615ECF">
      <w:pPr>
        <w:rPr>
          <w:rFonts w:eastAsia="Times New Roman"/>
          <w:lang w:val="en-US" w:eastAsia="en-NZ"/>
        </w:rPr>
      </w:pPr>
      <w:bookmarkStart w:id="0" w:name="_MailOriginal"/>
      <w:r>
        <w:rPr>
          <w:rFonts w:eastAsia="Times New Roman"/>
          <w:b/>
          <w:bCs/>
          <w:lang w:val="en-US" w:eastAsia="en-NZ"/>
        </w:rPr>
        <w:t>From:</w:t>
      </w:r>
      <w:r>
        <w:rPr>
          <w:rFonts w:eastAsia="Times New Roman"/>
          <w:lang w:val="en-US" w:eastAsia="en-NZ"/>
        </w:rPr>
        <w:t xml:space="preserve"> Beat Huser &lt;Beat.Huser@waikatoregion.govt.nz&gt; </w:t>
      </w:r>
      <w:r>
        <w:rPr>
          <w:rFonts w:eastAsia="Times New Roman"/>
          <w:lang w:val="en-US" w:eastAsia="en-NZ"/>
        </w:rPr>
        <w:br/>
      </w:r>
      <w:r>
        <w:rPr>
          <w:rFonts w:eastAsia="Times New Roman"/>
          <w:b/>
          <w:bCs/>
          <w:lang w:val="en-US" w:eastAsia="en-NZ"/>
        </w:rPr>
        <w:t>Sent:</w:t>
      </w:r>
      <w:r>
        <w:rPr>
          <w:rFonts w:eastAsia="Times New Roman"/>
          <w:lang w:val="en-US" w:eastAsia="en-NZ"/>
        </w:rPr>
        <w:t xml:space="preserve"> Wednesday, 15 July 2020 5:46 pm</w:t>
      </w:r>
      <w:r>
        <w:rPr>
          <w:rFonts w:eastAsia="Times New Roman"/>
          <w:lang w:val="en-US" w:eastAsia="en-NZ"/>
        </w:rPr>
        <w:br/>
      </w:r>
      <w:r>
        <w:rPr>
          <w:rFonts w:eastAsia="Times New Roman"/>
          <w:b/>
          <w:bCs/>
          <w:lang w:val="en-US" w:eastAsia="en-NZ"/>
        </w:rPr>
        <w:t>To:</w:t>
      </w:r>
      <w:r>
        <w:rPr>
          <w:rFonts w:eastAsia="Times New Roman"/>
          <w:lang w:val="en-US" w:eastAsia="en-NZ"/>
        </w:rPr>
        <w:t xml:space="preserve"> </w:t>
      </w:r>
      <w:r>
        <w:rPr>
          <w:rFonts w:eastAsia="Times New Roman"/>
          <w:lang w:val="en-US" w:eastAsia="en-NZ"/>
        </w:rPr>
        <w:t>Waikato Projections Group</w:t>
      </w:r>
      <w:r>
        <w:rPr>
          <w:rFonts w:eastAsia="Times New Roman"/>
          <w:lang w:val="en-US" w:eastAsia="en-NZ"/>
        </w:rPr>
        <w:br/>
      </w:r>
      <w:r>
        <w:rPr>
          <w:rFonts w:eastAsia="Times New Roman"/>
          <w:b/>
          <w:bCs/>
          <w:lang w:val="en-US" w:eastAsia="en-NZ"/>
        </w:rPr>
        <w:t>Subject:</w:t>
      </w:r>
      <w:r>
        <w:rPr>
          <w:rFonts w:eastAsia="Times New Roman"/>
          <w:lang w:val="en-US" w:eastAsia="en-NZ"/>
        </w:rPr>
        <w:t xml:space="preserve"> RE: Update on 2018 Census and the Waikato Projections</w:t>
      </w:r>
    </w:p>
    <w:p w14:paraId="1F90D66B" w14:textId="77777777" w:rsidR="00615ECF" w:rsidRPr="00615ECF" w:rsidRDefault="00615ECF" w:rsidP="00615ECF">
      <w:pPr>
        <w:rPr>
          <w:sz w:val="12"/>
          <w:szCs w:val="12"/>
        </w:rPr>
      </w:pPr>
    </w:p>
    <w:p w14:paraId="127E83B7" w14:textId="77777777" w:rsidR="00615ECF" w:rsidRDefault="00615ECF" w:rsidP="00615ECF">
      <w:r>
        <w:t xml:space="preserve">Hi All </w:t>
      </w:r>
    </w:p>
    <w:p w14:paraId="1A8FC9D7" w14:textId="77777777" w:rsidR="00615ECF" w:rsidRPr="00615ECF" w:rsidRDefault="00615ECF" w:rsidP="00615ECF">
      <w:pPr>
        <w:rPr>
          <w:sz w:val="12"/>
          <w:szCs w:val="12"/>
        </w:rPr>
      </w:pPr>
    </w:p>
    <w:p w14:paraId="193F0617" w14:textId="77777777" w:rsidR="00615ECF" w:rsidRDefault="00615ECF" w:rsidP="00615ECF">
      <w:pPr>
        <w:rPr>
          <w:b/>
          <w:bCs/>
          <w:lang w:val="en-US" w:eastAsia="en-NZ"/>
        </w:rPr>
      </w:pPr>
      <w:r>
        <w:t xml:space="preserve">The news we have been waiting for since months/years… Statistics NZ has advised us today that the </w:t>
      </w:r>
      <w:r>
        <w:rPr>
          <w:lang w:val="en-US" w:eastAsia="en-NZ"/>
        </w:rPr>
        <w:t xml:space="preserve">2018-base Estimated Resident Population (ERP) census data will be </w:t>
      </w:r>
      <w:r>
        <w:rPr>
          <w:b/>
          <w:bCs/>
          <w:lang w:val="en-US" w:eastAsia="en-NZ"/>
        </w:rPr>
        <w:t xml:space="preserve">released on 23 Sept 2020 </w:t>
      </w:r>
      <w:r>
        <w:rPr>
          <w:lang w:val="en-US" w:eastAsia="en-NZ"/>
        </w:rPr>
        <w:t xml:space="preserve">(refer email below). </w:t>
      </w:r>
      <w:r>
        <w:rPr>
          <w:b/>
          <w:bCs/>
          <w:lang w:val="en-US" w:eastAsia="en-NZ"/>
        </w:rPr>
        <w:t> </w:t>
      </w:r>
      <w:r>
        <w:t xml:space="preserve">This means we can finally start our planned population, household and economic </w:t>
      </w:r>
      <w:hyperlink r:id="rId4" w:history="1">
        <w:r>
          <w:rPr>
            <w:rStyle w:val="Hyperlink"/>
          </w:rPr>
          <w:t>Waikato projection work</w:t>
        </w:r>
      </w:hyperlink>
      <w:r>
        <w:t xml:space="preserve">. </w:t>
      </w:r>
    </w:p>
    <w:p w14:paraId="21D950B0" w14:textId="77777777" w:rsidR="00615ECF" w:rsidRDefault="00615ECF" w:rsidP="00615ECF"/>
    <w:p w14:paraId="28F9297C" w14:textId="77777777" w:rsidR="00615ECF" w:rsidRDefault="00615ECF" w:rsidP="00615ECF">
      <w:r>
        <w:t xml:space="preserve">In my last email update (23 April 2020) we assumed an earlier release date of July 2020 for the Stats data, and we have now updated the timeline and tasks accordingly (see below). We aim to release all the projection deliverables, both at TA and SA2 level, </w:t>
      </w:r>
      <w:r>
        <w:rPr>
          <w:b/>
          <w:bCs/>
        </w:rPr>
        <w:t>by end Feb/early March 2021</w:t>
      </w:r>
      <w:r>
        <w:t xml:space="preserve">. </w:t>
      </w:r>
    </w:p>
    <w:p w14:paraId="79B940B3" w14:textId="77777777" w:rsidR="00615ECF" w:rsidRDefault="00615ECF" w:rsidP="00615ECF"/>
    <w:p w14:paraId="52F41E3E" w14:textId="77777777" w:rsidR="00615ECF" w:rsidRDefault="00615ECF" w:rsidP="00615ECF">
      <w:pPr>
        <w:pStyle w:val="NormalWeb"/>
        <w:spacing w:before="0" w:beforeAutospacing="0" w:after="0" w:afterAutospacing="0"/>
        <w:rPr>
          <w:color w:val="1F497D"/>
        </w:rPr>
      </w:pPr>
      <w:r>
        <w:rPr>
          <w:color w:val="1F497D"/>
        </w:rPr>
        <w:t>T</w:t>
      </w:r>
      <w:r>
        <w:t xml:space="preserve">he </w:t>
      </w:r>
      <w:r>
        <w:rPr>
          <w:b/>
          <w:bCs/>
          <w:u w:val="single"/>
        </w:rPr>
        <w:t>deliverables</w:t>
      </w:r>
      <w:r>
        <w:t xml:space="preserve"> remain the same as agreed previously by the working group and contracts with the model/data providers (Alchemists Ltd, </w:t>
      </w:r>
      <w:proofErr w:type="spellStart"/>
      <w:r>
        <w:t>UoW</w:t>
      </w:r>
      <w:proofErr w:type="spellEnd"/>
      <w:r>
        <w:t>/NIDEA, Market Economics) have been confirmed:</w:t>
      </w:r>
    </w:p>
    <w:p w14:paraId="7A391D3E" w14:textId="77777777" w:rsidR="00615ECF" w:rsidRDefault="00615ECF" w:rsidP="00615ECF">
      <w:pPr>
        <w:rPr>
          <w:color w:val="1F497D"/>
          <w:sz w:val="12"/>
          <w:szCs w:val="12"/>
        </w:rPr>
      </w:pPr>
    </w:p>
    <w:p w14:paraId="7C23C2DD" w14:textId="77777777" w:rsidR="00615ECF" w:rsidRDefault="00615ECF" w:rsidP="00615ECF">
      <w:pPr>
        <w:pStyle w:val="Default"/>
        <w:rPr>
          <w:sz w:val="22"/>
          <w:szCs w:val="22"/>
        </w:rPr>
      </w:pPr>
      <w:r>
        <w:rPr>
          <w:sz w:val="22"/>
          <w:szCs w:val="22"/>
        </w:rPr>
        <w:t xml:space="preserve">- </w:t>
      </w:r>
      <w:r>
        <w:rPr>
          <w:b/>
          <w:bCs/>
          <w:sz w:val="22"/>
          <w:szCs w:val="22"/>
        </w:rPr>
        <w:t xml:space="preserve">By Territorial Authority Boundary </w:t>
      </w:r>
      <w:r>
        <w:rPr>
          <w:i/>
          <w:iCs/>
          <w:sz w:val="22"/>
          <w:szCs w:val="22"/>
        </w:rPr>
        <w:t>(yearly time steps):</w:t>
      </w:r>
      <w:r>
        <w:rPr>
          <w:sz w:val="22"/>
          <w:szCs w:val="22"/>
        </w:rPr>
        <w:t xml:space="preserve"> </w:t>
      </w:r>
    </w:p>
    <w:p w14:paraId="02F7957F" w14:textId="77777777" w:rsidR="00615ECF" w:rsidRDefault="00615ECF" w:rsidP="00615ECF">
      <w:pPr>
        <w:pStyle w:val="Default"/>
        <w:spacing w:after="13"/>
        <w:rPr>
          <w:sz w:val="20"/>
          <w:szCs w:val="20"/>
        </w:rPr>
      </w:pPr>
      <w:r>
        <w:rPr>
          <w:sz w:val="20"/>
          <w:szCs w:val="20"/>
        </w:rPr>
        <w:t xml:space="preserve">o Land Use (by WISE land use class) </w:t>
      </w:r>
    </w:p>
    <w:p w14:paraId="6F2ECA54" w14:textId="77777777" w:rsidR="00615ECF" w:rsidRDefault="00615ECF" w:rsidP="00615ECF">
      <w:pPr>
        <w:pStyle w:val="Default"/>
        <w:spacing w:after="13"/>
        <w:rPr>
          <w:sz w:val="20"/>
          <w:szCs w:val="20"/>
        </w:rPr>
      </w:pPr>
      <w:r>
        <w:rPr>
          <w:sz w:val="20"/>
          <w:szCs w:val="20"/>
        </w:rPr>
        <w:t xml:space="preserve">o Population (by gender/age cohorts) </w:t>
      </w:r>
    </w:p>
    <w:p w14:paraId="7114E443" w14:textId="77777777" w:rsidR="00615ECF" w:rsidRDefault="00615ECF" w:rsidP="00615ECF">
      <w:pPr>
        <w:pStyle w:val="Default"/>
        <w:spacing w:after="13"/>
        <w:rPr>
          <w:sz w:val="20"/>
          <w:szCs w:val="20"/>
        </w:rPr>
      </w:pPr>
      <w:r>
        <w:rPr>
          <w:sz w:val="20"/>
          <w:szCs w:val="20"/>
        </w:rPr>
        <w:t xml:space="preserve">o Households (by household type) </w:t>
      </w:r>
    </w:p>
    <w:p w14:paraId="4985D6E6" w14:textId="77777777" w:rsidR="00615ECF" w:rsidRDefault="00615ECF" w:rsidP="00615ECF">
      <w:pPr>
        <w:pStyle w:val="Default"/>
        <w:spacing w:after="13"/>
        <w:rPr>
          <w:sz w:val="20"/>
          <w:szCs w:val="20"/>
        </w:rPr>
      </w:pPr>
      <w:r>
        <w:rPr>
          <w:sz w:val="20"/>
          <w:szCs w:val="20"/>
        </w:rPr>
        <w:t xml:space="preserve">o Labour force </w:t>
      </w:r>
    </w:p>
    <w:p w14:paraId="2E92196F" w14:textId="77777777" w:rsidR="00615ECF" w:rsidRDefault="00615ECF" w:rsidP="00615ECF">
      <w:pPr>
        <w:pStyle w:val="Default"/>
        <w:spacing w:after="13"/>
        <w:rPr>
          <w:sz w:val="20"/>
          <w:szCs w:val="20"/>
        </w:rPr>
      </w:pPr>
      <w:r>
        <w:rPr>
          <w:sz w:val="20"/>
          <w:szCs w:val="20"/>
        </w:rPr>
        <w:t xml:space="preserve">o Employment (as Modified Employee Counts, MEC’s) </w:t>
      </w:r>
    </w:p>
    <w:p w14:paraId="35E69609" w14:textId="77777777" w:rsidR="00615ECF" w:rsidRDefault="00615ECF" w:rsidP="00615ECF">
      <w:pPr>
        <w:pStyle w:val="Default"/>
        <w:rPr>
          <w:sz w:val="20"/>
          <w:szCs w:val="20"/>
        </w:rPr>
      </w:pPr>
      <w:r>
        <w:rPr>
          <w:sz w:val="20"/>
          <w:szCs w:val="20"/>
        </w:rPr>
        <w:t xml:space="preserve">o Value Added ($m) </w:t>
      </w:r>
    </w:p>
    <w:p w14:paraId="6A16A185" w14:textId="77777777" w:rsidR="00615ECF" w:rsidRPr="00615ECF" w:rsidRDefault="00615ECF" w:rsidP="00615ECF">
      <w:pPr>
        <w:pStyle w:val="Default"/>
        <w:rPr>
          <w:sz w:val="12"/>
          <w:szCs w:val="12"/>
        </w:rPr>
      </w:pPr>
    </w:p>
    <w:p w14:paraId="013F6BBF" w14:textId="77777777" w:rsidR="00615ECF" w:rsidRDefault="00615ECF" w:rsidP="00615ECF">
      <w:pPr>
        <w:pStyle w:val="Default"/>
        <w:rPr>
          <w:sz w:val="22"/>
          <w:szCs w:val="22"/>
        </w:rPr>
      </w:pPr>
      <w:r>
        <w:rPr>
          <w:sz w:val="22"/>
          <w:szCs w:val="22"/>
        </w:rPr>
        <w:t xml:space="preserve">- </w:t>
      </w:r>
      <w:r>
        <w:rPr>
          <w:b/>
          <w:bCs/>
          <w:sz w:val="22"/>
          <w:szCs w:val="22"/>
        </w:rPr>
        <w:t xml:space="preserve">By SA2 (new Census Area Units) boundary </w:t>
      </w:r>
      <w:r>
        <w:rPr>
          <w:i/>
          <w:iCs/>
          <w:sz w:val="22"/>
          <w:szCs w:val="22"/>
        </w:rPr>
        <w:t>(modelled time steps 2018, 2023, 2033, 2043, 2053, 2063, with yearly extrapolations in between):</w:t>
      </w:r>
      <w:r>
        <w:rPr>
          <w:sz w:val="22"/>
          <w:szCs w:val="22"/>
        </w:rPr>
        <w:t xml:space="preserve"> </w:t>
      </w:r>
    </w:p>
    <w:p w14:paraId="79153E99" w14:textId="77777777" w:rsidR="00615ECF" w:rsidRDefault="00615ECF" w:rsidP="00615ECF">
      <w:pPr>
        <w:pStyle w:val="Default"/>
        <w:spacing w:after="13"/>
        <w:rPr>
          <w:sz w:val="20"/>
          <w:szCs w:val="20"/>
        </w:rPr>
      </w:pPr>
      <w:r>
        <w:rPr>
          <w:sz w:val="20"/>
          <w:szCs w:val="20"/>
        </w:rPr>
        <w:t xml:space="preserve">o Land Use (by WISE land use class) </w:t>
      </w:r>
    </w:p>
    <w:p w14:paraId="3F0F66F9" w14:textId="77777777" w:rsidR="00615ECF" w:rsidRDefault="00615ECF" w:rsidP="00615ECF">
      <w:pPr>
        <w:pStyle w:val="Default"/>
        <w:spacing w:after="13"/>
        <w:rPr>
          <w:sz w:val="20"/>
          <w:szCs w:val="20"/>
        </w:rPr>
      </w:pPr>
      <w:r>
        <w:rPr>
          <w:sz w:val="20"/>
          <w:szCs w:val="20"/>
        </w:rPr>
        <w:t xml:space="preserve">o Population (total) </w:t>
      </w:r>
    </w:p>
    <w:p w14:paraId="4CEE3958" w14:textId="77777777" w:rsidR="00615ECF" w:rsidRDefault="00615ECF" w:rsidP="00615ECF">
      <w:pPr>
        <w:pStyle w:val="Default"/>
        <w:spacing w:after="13"/>
        <w:rPr>
          <w:sz w:val="20"/>
          <w:szCs w:val="20"/>
        </w:rPr>
      </w:pPr>
      <w:r>
        <w:rPr>
          <w:sz w:val="20"/>
          <w:szCs w:val="20"/>
        </w:rPr>
        <w:t xml:space="preserve">o Households (total) </w:t>
      </w:r>
    </w:p>
    <w:p w14:paraId="6A1ACB78" w14:textId="77777777" w:rsidR="00615ECF" w:rsidRDefault="00615ECF" w:rsidP="00615ECF">
      <w:pPr>
        <w:pStyle w:val="Default"/>
        <w:spacing w:after="13"/>
        <w:rPr>
          <w:sz w:val="20"/>
          <w:szCs w:val="20"/>
        </w:rPr>
      </w:pPr>
      <w:r>
        <w:rPr>
          <w:sz w:val="20"/>
          <w:szCs w:val="20"/>
        </w:rPr>
        <w:t xml:space="preserve">o Labour force </w:t>
      </w:r>
    </w:p>
    <w:p w14:paraId="20FCA704" w14:textId="77777777" w:rsidR="00615ECF" w:rsidRDefault="00615ECF" w:rsidP="00615ECF">
      <w:pPr>
        <w:pStyle w:val="Default"/>
        <w:spacing w:after="13"/>
        <w:rPr>
          <w:sz w:val="20"/>
          <w:szCs w:val="20"/>
        </w:rPr>
      </w:pPr>
      <w:r>
        <w:rPr>
          <w:sz w:val="20"/>
          <w:szCs w:val="20"/>
        </w:rPr>
        <w:t xml:space="preserve">o Employment (as MEC’s) </w:t>
      </w:r>
    </w:p>
    <w:p w14:paraId="17A017ED" w14:textId="77777777" w:rsidR="00615ECF" w:rsidRDefault="00615ECF" w:rsidP="00615ECF">
      <w:pPr>
        <w:pStyle w:val="Default"/>
        <w:rPr>
          <w:sz w:val="20"/>
          <w:szCs w:val="20"/>
        </w:rPr>
      </w:pPr>
      <w:r>
        <w:rPr>
          <w:sz w:val="20"/>
          <w:szCs w:val="20"/>
        </w:rPr>
        <w:t xml:space="preserve">o Value Added ($m) </w:t>
      </w:r>
    </w:p>
    <w:p w14:paraId="73C29FE8" w14:textId="547E945F" w:rsidR="00615ECF" w:rsidRDefault="00615ECF" w:rsidP="00615ECF"/>
    <w:p w14:paraId="740CF3DD" w14:textId="77777777" w:rsidR="00615ECF" w:rsidRDefault="00615ECF" w:rsidP="00615ECF">
      <w:r>
        <w:t>Apologies for the long and frustrating delays that required us to use alternative and out-dated information for our LTPs and other planning projects.   </w:t>
      </w:r>
    </w:p>
    <w:p w14:paraId="2FF462F1" w14:textId="77777777" w:rsidR="00615ECF" w:rsidRDefault="00615ECF" w:rsidP="00615ECF"/>
    <w:p w14:paraId="4D84828E" w14:textId="77777777" w:rsidR="00615ECF" w:rsidRDefault="00615ECF" w:rsidP="00615ECF">
      <w:r>
        <w:t xml:space="preserve">I will provide further updates as we progress the above work.  Please contact me if you have any questions, or refer to the website: </w:t>
      </w:r>
      <w:hyperlink r:id="rId5" w:history="1">
        <w:r>
          <w:rPr>
            <w:rStyle w:val="Hyperlink"/>
          </w:rPr>
          <w:t>www.creatingfutures.org.nz/waikato-projections-demographic-and-economic/</w:t>
        </w:r>
      </w:hyperlink>
      <w:r>
        <w:t xml:space="preserve">. </w:t>
      </w:r>
    </w:p>
    <w:p w14:paraId="6F91549B" w14:textId="77777777" w:rsidR="00615ECF" w:rsidRPr="00615ECF" w:rsidRDefault="00615ECF" w:rsidP="00615ECF">
      <w:pPr>
        <w:rPr>
          <w:sz w:val="12"/>
          <w:szCs w:val="12"/>
        </w:rPr>
      </w:pPr>
    </w:p>
    <w:p w14:paraId="3567A20A" w14:textId="77777777" w:rsidR="00615ECF" w:rsidRDefault="00615ECF" w:rsidP="00615ECF">
      <w:r>
        <w:t>Cheers</w:t>
      </w:r>
    </w:p>
    <w:p w14:paraId="63C02A7B" w14:textId="77777777" w:rsidR="00615ECF" w:rsidRDefault="00615ECF" w:rsidP="00615ECF">
      <w:r>
        <w:t>Beat</w:t>
      </w:r>
    </w:p>
    <w:tbl>
      <w:tblPr>
        <w:tblW w:w="5000" w:type="pct"/>
        <w:tblCellSpacing w:w="0" w:type="dxa"/>
        <w:tblCellMar>
          <w:left w:w="0" w:type="dxa"/>
          <w:right w:w="0" w:type="dxa"/>
        </w:tblCellMar>
        <w:tblLook w:val="04A0" w:firstRow="1" w:lastRow="0" w:firstColumn="1" w:lastColumn="0" w:noHBand="0" w:noVBand="1"/>
      </w:tblPr>
      <w:tblGrid>
        <w:gridCol w:w="9026"/>
      </w:tblGrid>
      <w:tr w:rsidR="00615ECF" w14:paraId="2E3805B1" w14:textId="77777777" w:rsidTr="008F11B0">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6302"/>
            </w:tblGrid>
            <w:tr w:rsidR="00615ECF" w14:paraId="16AD8C58" w14:textId="77777777" w:rsidTr="008F11B0">
              <w:trPr>
                <w:tblCellSpacing w:w="0" w:type="dxa"/>
              </w:trPr>
              <w:tc>
                <w:tcPr>
                  <w:tcW w:w="0" w:type="auto"/>
                  <w:tcMar>
                    <w:top w:w="195" w:type="dxa"/>
                    <w:left w:w="0" w:type="dxa"/>
                    <w:bottom w:w="195" w:type="dxa"/>
                    <w:right w:w="0" w:type="dxa"/>
                  </w:tcMar>
                  <w:hideMark/>
                </w:tcPr>
                <w:tbl>
                  <w:tblPr>
                    <w:tblW w:w="0" w:type="auto"/>
                    <w:tblCellSpacing w:w="0" w:type="dxa"/>
                    <w:tblCellMar>
                      <w:left w:w="0" w:type="dxa"/>
                      <w:right w:w="0" w:type="dxa"/>
                    </w:tblCellMar>
                    <w:tblLook w:val="04A0" w:firstRow="1" w:lastRow="0" w:firstColumn="1" w:lastColumn="0" w:noHBand="0" w:noVBand="1"/>
                  </w:tblPr>
                  <w:tblGrid>
                    <w:gridCol w:w="6302"/>
                  </w:tblGrid>
                  <w:tr w:rsidR="00615ECF" w14:paraId="6AF87160" w14:textId="77777777" w:rsidTr="008F11B0">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6302"/>
                        </w:tblGrid>
                        <w:tr w:rsidR="00615ECF" w14:paraId="2E80CCB6" w14:textId="77777777" w:rsidTr="008F11B0">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912"/>
                                <w:gridCol w:w="183"/>
                                <w:gridCol w:w="2570"/>
                                <w:gridCol w:w="183"/>
                                <w:gridCol w:w="2454"/>
                              </w:tblGrid>
                              <w:tr w:rsidR="00615ECF" w14:paraId="792AD3FB" w14:textId="77777777" w:rsidTr="008F11B0">
                                <w:trPr>
                                  <w:tblCellSpacing w:w="0" w:type="dxa"/>
                                </w:trPr>
                                <w:tc>
                                  <w:tcPr>
                                    <w:tcW w:w="0" w:type="auto"/>
                                    <w:hideMark/>
                                  </w:tcPr>
                                  <w:p w14:paraId="7E1A2CA1" w14:textId="77777777" w:rsidR="00615ECF" w:rsidRDefault="00615ECF" w:rsidP="008F11B0">
                                    <w:pPr>
                                      <w:rPr>
                                        <w:rFonts w:eastAsia="Times New Roman"/>
                                        <w:b/>
                                        <w:bCs/>
                                        <w:color w:val="008080"/>
                                        <w:sz w:val="20"/>
                                        <w:szCs w:val="20"/>
                                        <w:lang w:eastAsia="en-NZ"/>
                                      </w:rPr>
                                    </w:pPr>
                                    <w:r>
                                      <w:rPr>
                                        <w:rFonts w:eastAsia="Times New Roman"/>
                                        <w:b/>
                                        <w:bCs/>
                                        <w:color w:val="008080"/>
                                        <w:sz w:val="20"/>
                                        <w:szCs w:val="20"/>
                                        <w:lang w:eastAsia="en-NZ"/>
                                      </w:rPr>
                                      <w:t>Beat Huser</w:t>
                                    </w:r>
                                    <w:r>
                                      <w:rPr>
                                        <w:rFonts w:ascii="remialcxesans" w:eastAsia="Times New Roman" w:hAnsi="remialcxesans"/>
                                        <w:b/>
                                        <w:bCs/>
                                        <w:color w:val="FFFFFF"/>
                                        <w:sz w:val="2"/>
                                        <w:szCs w:val="2"/>
                                        <w:lang w:eastAsia="en-NZ"/>
                                      </w:rPr>
                                      <w:t>​</w:t>
                                    </w:r>
                                  </w:p>
                                </w:tc>
                                <w:tc>
                                  <w:tcPr>
                                    <w:tcW w:w="0" w:type="auto"/>
                                    <w:hideMark/>
                                  </w:tcPr>
                                  <w:p w14:paraId="4D2F0F34" w14:textId="77777777" w:rsidR="00615ECF" w:rsidRDefault="00615ECF" w:rsidP="008F11B0">
                                    <w:pPr>
                                      <w:rPr>
                                        <w:rFonts w:eastAsia="Times New Roman"/>
                                        <w:color w:val="7F7F7F"/>
                                        <w:sz w:val="20"/>
                                        <w:szCs w:val="20"/>
                                        <w:lang w:eastAsia="en-NZ"/>
                                      </w:rPr>
                                    </w:pPr>
                                    <w:r>
                                      <w:rPr>
                                        <w:rFonts w:eastAsia="Times New Roman"/>
                                        <w:color w:val="7F7F7F"/>
                                        <w:sz w:val="20"/>
                                        <w:szCs w:val="20"/>
                                        <w:lang w:eastAsia="en-NZ"/>
                                      </w:rPr>
                                      <w:t> | </w:t>
                                    </w:r>
                                  </w:p>
                                </w:tc>
                                <w:tc>
                                  <w:tcPr>
                                    <w:tcW w:w="0" w:type="auto"/>
                                    <w:hideMark/>
                                  </w:tcPr>
                                  <w:p w14:paraId="21671B54" w14:textId="77777777" w:rsidR="00615ECF" w:rsidRDefault="00615ECF" w:rsidP="008F11B0">
                                    <w:pPr>
                                      <w:rPr>
                                        <w:rFonts w:eastAsia="Times New Roman"/>
                                        <w:color w:val="7F7F7F"/>
                                        <w:sz w:val="20"/>
                                        <w:szCs w:val="20"/>
                                        <w:lang w:eastAsia="en-NZ"/>
                                      </w:rPr>
                                    </w:pPr>
                                    <w:r>
                                      <w:rPr>
                                        <w:rFonts w:eastAsia="Times New Roman"/>
                                        <w:color w:val="7F7F7F"/>
                                        <w:sz w:val="20"/>
                                        <w:szCs w:val="20"/>
                                        <w:lang w:eastAsia="en-NZ"/>
                                      </w:rPr>
                                      <w:t>PRINCIPAL STRATEGIC ADVISOR</w:t>
                                    </w:r>
                                  </w:p>
                                </w:tc>
                                <w:tc>
                                  <w:tcPr>
                                    <w:tcW w:w="0" w:type="auto"/>
                                    <w:hideMark/>
                                  </w:tcPr>
                                  <w:p w14:paraId="0B902C67" w14:textId="77777777" w:rsidR="00615ECF" w:rsidRDefault="00615ECF" w:rsidP="008F11B0">
                                    <w:pPr>
                                      <w:rPr>
                                        <w:rFonts w:eastAsia="Times New Roman"/>
                                        <w:color w:val="7F7F7F"/>
                                        <w:sz w:val="20"/>
                                        <w:szCs w:val="20"/>
                                        <w:lang w:eastAsia="en-NZ"/>
                                      </w:rPr>
                                    </w:pPr>
                                    <w:r>
                                      <w:rPr>
                                        <w:rFonts w:eastAsia="Times New Roman"/>
                                        <w:color w:val="7F7F7F"/>
                                        <w:sz w:val="20"/>
                                        <w:szCs w:val="20"/>
                                        <w:lang w:eastAsia="en-NZ"/>
                                      </w:rPr>
                                      <w:t> | </w:t>
                                    </w:r>
                                  </w:p>
                                </w:tc>
                                <w:tc>
                                  <w:tcPr>
                                    <w:tcW w:w="0" w:type="auto"/>
                                    <w:hideMark/>
                                  </w:tcPr>
                                  <w:p w14:paraId="35041873" w14:textId="77777777" w:rsidR="00615ECF" w:rsidRDefault="00615ECF" w:rsidP="008F11B0">
                                    <w:pPr>
                                      <w:rPr>
                                        <w:rFonts w:eastAsia="Times New Roman"/>
                                        <w:color w:val="7F7F7F"/>
                                        <w:sz w:val="20"/>
                                        <w:szCs w:val="20"/>
                                        <w:lang w:eastAsia="en-NZ"/>
                                      </w:rPr>
                                    </w:pPr>
                                    <w:r>
                                      <w:rPr>
                                        <w:rFonts w:eastAsia="Times New Roman"/>
                                        <w:color w:val="7F7F7F"/>
                                        <w:sz w:val="20"/>
                                        <w:szCs w:val="20"/>
                                        <w:lang w:eastAsia="en-NZ"/>
                                      </w:rPr>
                                      <w:t>Strategy, Science and Strategy</w:t>
                                    </w:r>
                                  </w:p>
                                </w:tc>
                              </w:tr>
                            </w:tbl>
                            <w:p w14:paraId="7B134D13" w14:textId="77777777" w:rsidR="00615ECF" w:rsidRDefault="00615ECF" w:rsidP="008F11B0">
                              <w:pPr>
                                <w:rPr>
                                  <w:rFonts w:ascii="Times New Roman" w:eastAsia="Times New Roman" w:hAnsi="Times New Roman" w:cs="Times New Roman"/>
                                  <w:sz w:val="20"/>
                                  <w:szCs w:val="20"/>
                                  <w:lang w:eastAsia="en-NZ"/>
                                </w:rPr>
                              </w:pPr>
                            </w:p>
                          </w:tc>
                        </w:tr>
                        <w:tr w:rsidR="00615ECF" w14:paraId="39718AD1" w14:textId="77777777" w:rsidTr="008F11B0">
                          <w:trPr>
                            <w:tblCellSpacing w:w="0" w:type="dxa"/>
                          </w:trPr>
                          <w:tc>
                            <w:tcPr>
                              <w:tcW w:w="0" w:type="auto"/>
                              <w:hideMark/>
                            </w:tcPr>
                            <w:p w14:paraId="1E3A30DF" w14:textId="77777777" w:rsidR="00615ECF" w:rsidRDefault="00615ECF" w:rsidP="008F11B0">
                              <w:pPr>
                                <w:rPr>
                                  <w:rFonts w:eastAsia="Times New Roman"/>
                                  <w:color w:val="000001"/>
                                  <w:sz w:val="20"/>
                                  <w:szCs w:val="20"/>
                                  <w:lang w:eastAsia="en-NZ"/>
                                </w:rPr>
                              </w:pPr>
                              <w:r>
                                <w:rPr>
                                  <w:rFonts w:eastAsia="Times New Roman"/>
                                  <w:color w:val="000001"/>
                                  <w:sz w:val="20"/>
                                  <w:szCs w:val="20"/>
                                  <w:lang w:eastAsia="en-NZ"/>
                                </w:rPr>
                                <w:t>WAIKATO REGIONAL COUNCIL | Te </w:t>
                              </w:r>
                              <w:proofErr w:type="spellStart"/>
                              <w:r>
                                <w:rPr>
                                  <w:rFonts w:eastAsia="Times New Roman"/>
                                  <w:color w:val="000001"/>
                                  <w:sz w:val="20"/>
                                  <w:szCs w:val="20"/>
                                  <w:lang w:eastAsia="en-NZ"/>
                                </w:rPr>
                                <w:t>Kaunihera</w:t>
                              </w:r>
                              <w:proofErr w:type="spellEnd"/>
                              <w:r>
                                <w:rPr>
                                  <w:rFonts w:eastAsia="Times New Roman"/>
                                  <w:color w:val="000001"/>
                                  <w:sz w:val="20"/>
                                  <w:szCs w:val="20"/>
                                  <w:lang w:eastAsia="en-NZ"/>
                                </w:rPr>
                                <w:t> ā </w:t>
                              </w:r>
                              <w:proofErr w:type="spellStart"/>
                              <w:r>
                                <w:rPr>
                                  <w:rFonts w:eastAsia="Times New Roman"/>
                                  <w:color w:val="000001"/>
                                  <w:sz w:val="20"/>
                                  <w:szCs w:val="20"/>
                                  <w:lang w:eastAsia="en-NZ"/>
                                </w:rPr>
                                <w:t>Rohe</w:t>
                              </w:r>
                              <w:proofErr w:type="spellEnd"/>
                              <w:r>
                                <w:rPr>
                                  <w:rFonts w:eastAsia="Times New Roman"/>
                                  <w:color w:val="000001"/>
                                  <w:sz w:val="20"/>
                                  <w:szCs w:val="20"/>
                                  <w:lang w:eastAsia="en-NZ"/>
                                </w:rPr>
                                <w:t> o Waikato</w:t>
                              </w:r>
                            </w:p>
                          </w:tc>
                        </w:tr>
                      </w:tbl>
                      <w:p w14:paraId="53E7496B" w14:textId="77777777" w:rsidR="00615ECF" w:rsidRDefault="00615ECF" w:rsidP="008F11B0">
                        <w:pPr>
                          <w:rPr>
                            <w:rFonts w:ascii="Times New Roman" w:eastAsia="Times New Roman" w:hAnsi="Times New Roman" w:cs="Times New Roman"/>
                            <w:sz w:val="20"/>
                            <w:szCs w:val="20"/>
                            <w:lang w:eastAsia="en-NZ"/>
                          </w:rPr>
                        </w:pPr>
                      </w:p>
                    </w:tc>
                  </w:tr>
                  <w:tr w:rsidR="00615ECF" w14:paraId="0E445614" w14:textId="77777777" w:rsidTr="008F11B0">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4482"/>
                        </w:tblGrid>
                        <w:tr w:rsidR="00615ECF" w14:paraId="37B4B4BE" w14:textId="77777777" w:rsidTr="008F11B0">
                          <w:trPr>
                            <w:tblCellSpacing w:w="0" w:type="dxa"/>
                          </w:trPr>
                          <w:tc>
                            <w:tcPr>
                              <w:tcW w:w="0" w:type="auto"/>
                              <w:hideMark/>
                            </w:tcPr>
                            <w:p w14:paraId="5822521B" w14:textId="77777777" w:rsidR="00615ECF" w:rsidRDefault="00615ECF" w:rsidP="008F11B0">
                              <w:pPr>
                                <w:rPr>
                                  <w:rFonts w:eastAsia="Times New Roman"/>
                                  <w:color w:val="7F7F7F"/>
                                  <w:sz w:val="20"/>
                                  <w:szCs w:val="20"/>
                                  <w:lang w:eastAsia="en-NZ"/>
                                </w:rPr>
                              </w:pPr>
                              <w:r>
                                <w:rPr>
                                  <w:rFonts w:eastAsia="Times New Roman"/>
                                  <w:color w:val="7F7F7F"/>
                                  <w:sz w:val="20"/>
                                  <w:szCs w:val="20"/>
                                  <w:lang w:eastAsia="en-NZ"/>
                                </w:rPr>
                                <w:t>P: </w:t>
                              </w:r>
                              <w:hyperlink r:id="rId6" w:tgtFrame="_blank" w:history="1">
                                <w:r>
                                  <w:rPr>
                                    <w:rStyle w:val="Strong"/>
                                    <w:rFonts w:eastAsia="Times New Roman"/>
                                    <w:b w:val="0"/>
                                    <w:bCs w:val="0"/>
                                    <w:color w:val="7F7F7F"/>
                                    <w:sz w:val="20"/>
                                    <w:szCs w:val="20"/>
                                    <w:lang w:eastAsia="en-NZ"/>
                                  </w:rPr>
                                  <w:t>+6478590854</w:t>
                                </w:r>
                              </w:hyperlink>
                            </w:p>
                          </w:tc>
                        </w:tr>
                        <w:tr w:rsidR="00615ECF" w14:paraId="0DEE24C7" w14:textId="77777777" w:rsidTr="008F11B0">
                          <w:trPr>
                            <w:tblCellSpacing w:w="0" w:type="dxa"/>
                          </w:trPr>
                          <w:tc>
                            <w:tcPr>
                              <w:tcW w:w="0" w:type="auto"/>
                              <w:hideMark/>
                            </w:tcPr>
                            <w:p w14:paraId="2A86BC2F" w14:textId="77777777" w:rsidR="00615ECF" w:rsidRDefault="00615ECF" w:rsidP="008F11B0">
                              <w:pPr>
                                <w:rPr>
                                  <w:rFonts w:eastAsia="Times New Roman"/>
                                  <w:color w:val="7F7F7F"/>
                                  <w:sz w:val="20"/>
                                  <w:szCs w:val="20"/>
                                  <w:lang w:eastAsia="en-NZ"/>
                                </w:rPr>
                              </w:pPr>
                              <w:r>
                                <w:rPr>
                                  <w:rFonts w:eastAsia="Times New Roman"/>
                                  <w:color w:val="7F7F7F"/>
                                  <w:sz w:val="20"/>
                                  <w:szCs w:val="20"/>
                                  <w:lang w:eastAsia="en-NZ"/>
                                </w:rPr>
                                <w:t>M: </w:t>
                              </w:r>
                              <w:hyperlink r:id="rId7" w:tgtFrame="_blank" w:history="1">
                                <w:r>
                                  <w:rPr>
                                    <w:rStyle w:val="Strong"/>
                                    <w:rFonts w:eastAsia="Times New Roman"/>
                                    <w:b w:val="0"/>
                                    <w:bCs w:val="0"/>
                                    <w:color w:val="7F7F7F"/>
                                    <w:sz w:val="20"/>
                                    <w:szCs w:val="20"/>
                                    <w:lang w:eastAsia="en-NZ"/>
                                  </w:rPr>
                                  <w:t>+6421368954</w:t>
                                </w:r>
                              </w:hyperlink>
                            </w:p>
                          </w:tc>
                        </w:tr>
                        <w:tr w:rsidR="00615ECF" w14:paraId="67FCB450" w14:textId="77777777" w:rsidTr="008F11B0">
                          <w:trPr>
                            <w:tblCellSpacing w:w="0" w:type="dxa"/>
                          </w:trPr>
                          <w:tc>
                            <w:tcPr>
                              <w:tcW w:w="0" w:type="auto"/>
                              <w:hideMark/>
                            </w:tcPr>
                            <w:p w14:paraId="0405A7A2" w14:textId="77777777" w:rsidR="00615ECF" w:rsidRDefault="00615ECF" w:rsidP="008F11B0">
                              <w:pPr>
                                <w:rPr>
                                  <w:rFonts w:eastAsia="Times New Roman"/>
                                  <w:color w:val="7F7F7F"/>
                                  <w:sz w:val="20"/>
                                  <w:szCs w:val="20"/>
                                  <w:lang w:eastAsia="en-NZ"/>
                                </w:rPr>
                              </w:pPr>
                              <w:r>
                                <w:rPr>
                                  <w:rFonts w:eastAsia="Times New Roman"/>
                                  <w:color w:val="7F7F7F"/>
                                  <w:sz w:val="20"/>
                                  <w:szCs w:val="20"/>
                                  <w:lang w:eastAsia="en-NZ"/>
                                </w:rPr>
                                <w:t>F: </w:t>
                              </w:r>
                              <w:hyperlink r:id="rId8" w:tgtFrame="_blank" w:history="1">
                                <w:r>
                                  <w:rPr>
                                    <w:rStyle w:val="Strong"/>
                                    <w:rFonts w:eastAsia="Times New Roman"/>
                                    <w:b w:val="0"/>
                                    <w:bCs w:val="0"/>
                                    <w:color w:val="7F7F7F"/>
                                    <w:sz w:val="20"/>
                                    <w:szCs w:val="20"/>
                                    <w:lang w:eastAsia="en-NZ"/>
                                  </w:rPr>
                                  <w:t>facebook.com/</w:t>
                                </w:r>
                                <w:proofErr w:type="spellStart"/>
                                <w:r>
                                  <w:rPr>
                                    <w:rStyle w:val="Strong"/>
                                    <w:rFonts w:eastAsia="Times New Roman"/>
                                    <w:b w:val="0"/>
                                    <w:bCs w:val="0"/>
                                    <w:color w:val="7F7F7F"/>
                                    <w:sz w:val="20"/>
                                    <w:szCs w:val="20"/>
                                    <w:lang w:eastAsia="en-NZ"/>
                                  </w:rPr>
                                  <w:t>waikatoregion</w:t>
                                </w:r>
                                <w:proofErr w:type="spellEnd"/>
                              </w:hyperlink>
                            </w:p>
                          </w:tc>
                        </w:tr>
                        <w:tr w:rsidR="00615ECF" w14:paraId="25F019F6" w14:textId="77777777" w:rsidTr="008F11B0">
                          <w:trPr>
                            <w:tblCellSpacing w:w="0" w:type="dxa"/>
                          </w:trPr>
                          <w:tc>
                            <w:tcPr>
                              <w:tcW w:w="0" w:type="auto"/>
                              <w:hideMark/>
                            </w:tcPr>
                            <w:p w14:paraId="649E3F52" w14:textId="77777777" w:rsidR="00615ECF" w:rsidRDefault="00615ECF" w:rsidP="008F11B0">
                              <w:pPr>
                                <w:rPr>
                                  <w:rFonts w:eastAsia="Times New Roman"/>
                                  <w:color w:val="7F7F7F"/>
                                  <w:sz w:val="20"/>
                                  <w:szCs w:val="20"/>
                                  <w:lang w:eastAsia="en-NZ"/>
                                </w:rPr>
                              </w:pPr>
                              <w:r>
                                <w:rPr>
                                  <w:rFonts w:eastAsia="Times New Roman"/>
                                  <w:color w:val="7F7F7F"/>
                                  <w:sz w:val="20"/>
                                  <w:szCs w:val="20"/>
                                  <w:lang w:eastAsia="en-NZ"/>
                                </w:rPr>
                                <w:t>Private Bag 3038, Waikato Mail Centre, Hamilton, 3240</w:t>
                              </w:r>
                            </w:p>
                          </w:tc>
                        </w:tr>
                      </w:tbl>
                      <w:p w14:paraId="0720BECC" w14:textId="77777777" w:rsidR="00615ECF" w:rsidRDefault="00615ECF" w:rsidP="008F11B0">
                        <w:pPr>
                          <w:rPr>
                            <w:rFonts w:ascii="Times New Roman" w:eastAsia="Times New Roman" w:hAnsi="Times New Roman" w:cs="Times New Roman"/>
                            <w:sz w:val="20"/>
                            <w:szCs w:val="20"/>
                            <w:lang w:eastAsia="en-NZ"/>
                          </w:rPr>
                        </w:pPr>
                      </w:p>
                    </w:tc>
                  </w:tr>
                </w:tbl>
                <w:p w14:paraId="6EA6F90E" w14:textId="77777777" w:rsidR="00615ECF" w:rsidRDefault="00615ECF" w:rsidP="008F11B0">
                  <w:pPr>
                    <w:rPr>
                      <w:rFonts w:ascii="Times New Roman" w:eastAsia="Times New Roman" w:hAnsi="Times New Roman" w:cs="Times New Roman"/>
                      <w:sz w:val="20"/>
                      <w:szCs w:val="20"/>
                      <w:lang w:eastAsia="en-NZ"/>
                    </w:rPr>
                  </w:pPr>
                </w:p>
              </w:tc>
            </w:tr>
          </w:tbl>
          <w:p w14:paraId="1AEDC1FF" w14:textId="77777777" w:rsidR="00615ECF" w:rsidRDefault="00615ECF" w:rsidP="008F11B0">
            <w:pPr>
              <w:rPr>
                <w:rFonts w:ascii="Times New Roman" w:eastAsia="Times New Roman" w:hAnsi="Times New Roman" w:cs="Times New Roman"/>
                <w:sz w:val="20"/>
                <w:szCs w:val="20"/>
                <w:lang w:eastAsia="en-NZ"/>
              </w:rPr>
            </w:pPr>
          </w:p>
        </w:tc>
      </w:tr>
    </w:tbl>
    <w:p w14:paraId="170ED077" w14:textId="77777777" w:rsidR="00615ECF" w:rsidRPr="00615ECF" w:rsidRDefault="00615ECF" w:rsidP="00615ECF"/>
    <w:p w14:paraId="0C7D8C0F" w14:textId="23557189" w:rsidR="00615ECF" w:rsidRDefault="002B4417" w:rsidP="00615ECF">
      <w:r w:rsidRPr="002B4417">
        <w:drawing>
          <wp:inline distT="0" distB="0" distL="0" distR="0" wp14:anchorId="1FF16433" wp14:editId="749F9E03">
            <wp:extent cx="5731510" cy="309816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098165"/>
                    </a:xfrm>
                    <a:prstGeom prst="rect">
                      <a:avLst/>
                    </a:prstGeom>
                  </pic:spPr>
                </pic:pic>
              </a:graphicData>
            </a:graphic>
          </wp:inline>
        </w:drawing>
      </w:r>
    </w:p>
    <w:p w14:paraId="4772C9D4" w14:textId="186E31EE" w:rsidR="00615ECF" w:rsidRDefault="00615ECF" w:rsidP="00615ECF"/>
    <w:p w14:paraId="3975AA35" w14:textId="77777777" w:rsidR="00615ECF" w:rsidRDefault="00615ECF" w:rsidP="00615ECF">
      <w:pPr>
        <w:rPr>
          <w:b/>
          <w:bCs/>
          <w:sz w:val="28"/>
          <w:szCs w:val="28"/>
        </w:rPr>
      </w:pPr>
    </w:p>
    <w:p w14:paraId="567E48AF" w14:textId="78F3BBB9" w:rsidR="00615ECF" w:rsidRPr="00615ECF" w:rsidRDefault="00615ECF" w:rsidP="00615ECF">
      <w:pPr>
        <w:rPr>
          <w:b/>
          <w:bCs/>
          <w:sz w:val="28"/>
          <w:szCs w:val="28"/>
        </w:rPr>
      </w:pPr>
      <w:r w:rsidRPr="00615ECF">
        <w:rPr>
          <w:b/>
          <w:bCs/>
          <w:sz w:val="28"/>
          <w:szCs w:val="28"/>
        </w:rPr>
        <w:t xml:space="preserve">Stats NZ – confirmation of release of </w:t>
      </w:r>
      <w:r w:rsidRPr="00615ECF">
        <w:rPr>
          <w:b/>
          <w:bCs/>
          <w:sz w:val="28"/>
          <w:szCs w:val="28"/>
        </w:rPr>
        <w:t>the 2018 post-enumeration survey (PES) and the 2018-base estimated resident population (ERP)</w:t>
      </w:r>
    </w:p>
    <w:p w14:paraId="20D9A9E8" w14:textId="77777777" w:rsidR="00615ECF" w:rsidRDefault="00615ECF" w:rsidP="00615ECF"/>
    <w:tbl>
      <w:tblPr>
        <w:tblW w:w="5000" w:type="pct"/>
        <w:tblCellSpacing w:w="0" w:type="dxa"/>
        <w:tblCellMar>
          <w:left w:w="0" w:type="dxa"/>
          <w:right w:w="0" w:type="dxa"/>
        </w:tblCellMar>
        <w:tblLook w:val="04A0" w:firstRow="1" w:lastRow="0" w:firstColumn="1" w:lastColumn="0" w:noHBand="0" w:noVBand="1"/>
      </w:tblPr>
      <w:tblGrid>
        <w:gridCol w:w="9026"/>
      </w:tblGrid>
      <w:tr w:rsidR="00615ECF" w14:paraId="172A0FB0" w14:textId="77777777" w:rsidTr="00615ECF">
        <w:trPr>
          <w:tblCellSpacing w:w="0" w:type="dxa"/>
        </w:trPr>
        <w:tc>
          <w:tcPr>
            <w:tcW w:w="0" w:type="auto"/>
          </w:tcPr>
          <w:p w14:paraId="1AA3C0D9" w14:textId="1570836A" w:rsidR="00615ECF" w:rsidRDefault="00615ECF">
            <w:pPr>
              <w:rPr>
                <w:rFonts w:eastAsia="Times New Roman"/>
                <w:sz w:val="2"/>
                <w:szCs w:val="2"/>
                <w:lang w:eastAsia="en-NZ"/>
              </w:rPr>
            </w:pPr>
          </w:p>
        </w:tc>
      </w:tr>
    </w:tbl>
    <w:p w14:paraId="43A89806" w14:textId="77777777" w:rsidR="00615ECF" w:rsidRDefault="00615ECF" w:rsidP="00615ECF">
      <w:pPr>
        <w:outlineLvl w:val="0"/>
        <w:rPr>
          <w:rFonts w:eastAsia="Times New Roman"/>
          <w:lang w:val="en-US" w:eastAsia="en-NZ"/>
        </w:rPr>
      </w:pPr>
      <w:r>
        <w:rPr>
          <w:rFonts w:eastAsia="Times New Roman"/>
          <w:b/>
          <w:bCs/>
          <w:lang w:val="en-US" w:eastAsia="en-NZ"/>
        </w:rPr>
        <w:t>From:</w:t>
      </w:r>
      <w:r>
        <w:rPr>
          <w:rFonts w:eastAsia="Times New Roman"/>
          <w:lang w:val="en-US" w:eastAsia="en-NZ"/>
        </w:rPr>
        <w:t xml:space="preserve"> Brooke </w:t>
      </w:r>
      <w:proofErr w:type="spellStart"/>
      <w:r>
        <w:rPr>
          <w:rFonts w:eastAsia="Times New Roman"/>
          <w:lang w:val="en-US" w:eastAsia="en-NZ"/>
        </w:rPr>
        <w:t>Theyers</w:t>
      </w:r>
      <w:proofErr w:type="spellEnd"/>
      <w:r>
        <w:rPr>
          <w:rFonts w:eastAsia="Times New Roman"/>
          <w:lang w:val="en-US" w:eastAsia="en-NZ"/>
        </w:rPr>
        <w:t xml:space="preserve"> &lt;</w:t>
      </w:r>
      <w:hyperlink r:id="rId10" w:history="1">
        <w:r>
          <w:rPr>
            <w:rStyle w:val="Hyperlink"/>
            <w:rFonts w:eastAsia="Times New Roman"/>
            <w:lang w:val="en-US" w:eastAsia="en-NZ"/>
          </w:rPr>
          <w:t>brooke.theyers@stats.govt.nz</w:t>
        </w:r>
      </w:hyperlink>
      <w:r>
        <w:rPr>
          <w:rFonts w:eastAsia="Times New Roman"/>
          <w:lang w:val="en-US" w:eastAsia="en-NZ"/>
        </w:rPr>
        <w:t xml:space="preserve">&gt; </w:t>
      </w:r>
      <w:r>
        <w:rPr>
          <w:rFonts w:eastAsia="Times New Roman"/>
          <w:lang w:val="en-US" w:eastAsia="en-NZ"/>
        </w:rPr>
        <w:br/>
      </w:r>
      <w:r>
        <w:rPr>
          <w:rFonts w:eastAsia="Times New Roman"/>
          <w:b/>
          <w:bCs/>
          <w:lang w:val="en-US" w:eastAsia="en-NZ"/>
        </w:rPr>
        <w:t>Sent:</w:t>
      </w:r>
      <w:r>
        <w:rPr>
          <w:rFonts w:eastAsia="Times New Roman"/>
          <w:lang w:val="en-US" w:eastAsia="en-NZ"/>
        </w:rPr>
        <w:t xml:space="preserve"> Wednesday, 15 July 2020 12:05 pm</w:t>
      </w:r>
      <w:r>
        <w:rPr>
          <w:rFonts w:eastAsia="Times New Roman"/>
          <w:lang w:val="en-US" w:eastAsia="en-NZ"/>
        </w:rPr>
        <w:br/>
      </w:r>
      <w:r>
        <w:rPr>
          <w:rFonts w:eastAsia="Times New Roman"/>
          <w:b/>
          <w:bCs/>
          <w:lang w:val="en-US" w:eastAsia="en-NZ"/>
        </w:rPr>
        <w:t>Cc:</w:t>
      </w:r>
      <w:r>
        <w:rPr>
          <w:rFonts w:eastAsia="Times New Roman"/>
          <w:lang w:val="en-US" w:eastAsia="en-NZ"/>
        </w:rPr>
        <w:t xml:space="preserve"> Michelle </w:t>
      </w:r>
      <w:proofErr w:type="spellStart"/>
      <w:r>
        <w:rPr>
          <w:rFonts w:eastAsia="Times New Roman"/>
          <w:lang w:val="en-US" w:eastAsia="en-NZ"/>
        </w:rPr>
        <w:t>Feyen</w:t>
      </w:r>
      <w:proofErr w:type="spellEnd"/>
      <w:r>
        <w:rPr>
          <w:rFonts w:eastAsia="Times New Roman"/>
          <w:lang w:val="en-US" w:eastAsia="en-NZ"/>
        </w:rPr>
        <w:t xml:space="preserve"> &lt;</w:t>
      </w:r>
      <w:hyperlink r:id="rId11" w:history="1">
        <w:r>
          <w:rPr>
            <w:rStyle w:val="Hyperlink"/>
            <w:rFonts w:eastAsia="Times New Roman"/>
            <w:lang w:val="en-US" w:eastAsia="en-NZ"/>
          </w:rPr>
          <w:t>michelle.feyen@stats.govt.nz</w:t>
        </w:r>
      </w:hyperlink>
      <w:r>
        <w:rPr>
          <w:rFonts w:eastAsia="Times New Roman"/>
          <w:lang w:val="en-US" w:eastAsia="en-NZ"/>
        </w:rPr>
        <w:t>&gt;; Joel Watkins &lt;</w:t>
      </w:r>
      <w:hyperlink r:id="rId12" w:history="1">
        <w:r>
          <w:rPr>
            <w:rStyle w:val="Hyperlink"/>
            <w:rFonts w:eastAsia="Times New Roman"/>
            <w:lang w:val="en-US" w:eastAsia="en-NZ"/>
          </w:rPr>
          <w:t>joel.watkins@stats.govt.nz</w:t>
        </w:r>
      </w:hyperlink>
      <w:r>
        <w:rPr>
          <w:rFonts w:eastAsia="Times New Roman"/>
          <w:lang w:val="en-US" w:eastAsia="en-NZ"/>
        </w:rPr>
        <w:t>&gt;; Lindsay Davis &lt;</w:t>
      </w:r>
      <w:hyperlink r:id="rId13" w:history="1">
        <w:r>
          <w:rPr>
            <w:rStyle w:val="Hyperlink"/>
            <w:rFonts w:eastAsia="Times New Roman"/>
            <w:lang w:val="en-US" w:eastAsia="en-NZ"/>
          </w:rPr>
          <w:t>lindsay.davis@stats.govt.nz</w:t>
        </w:r>
      </w:hyperlink>
      <w:r>
        <w:rPr>
          <w:rFonts w:eastAsia="Times New Roman"/>
          <w:lang w:val="en-US" w:eastAsia="en-NZ"/>
        </w:rPr>
        <w:t>&gt;; Kim Dunstan &lt;</w:t>
      </w:r>
      <w:hyperlink r:id="rId14" w:history="1">
        <w:r>
          <w:rPr>
            <w:rStyle w:val="Hyperlink"/>
            <w:rFonts w:eastAsia="Times New Roman"/>
            <w:lang w:val="en-US" w:eastAsia="en-NZ"/>
          </w:rPr>
          <w:t>kim.dunstan@stats.govt.nz</w:t>
        </w:r>
      </w:hyperlink>
      <w:r>
        <w:rPr>
          <w:rFonts w:eastAsia="Times New Roman"/>
          <w:lang w:val="en-US" w:eastAsia="en-NZ"/>
        </w:rPr>
        <w:t>&gt;</w:t>
      </w:r>
      <w:r>
        <w:rPr>
          <w:rFonts w:eastAsia="Times New Roman"/>
          <w:lang w:val="en-US" w:eastAsia="en-NZ"/>
        </w:rPr>
        <w:br/>
      </w:r>
      <w:r>
        <w:rPr>
          <w:rFonts w:eastAsia="Times New Roman"/>
          <w:b/>
          <w:bCs/>
          <w:lang w:val="en-US" w:eastAsia="en-NZ"/>
        </w:rPr>
        <w:t>Subject:</w:t>
      </w:r>
      <w:r>
        <w:rPr>
          <w:rFonts w:eastAsia="Times New Roman"/>
          <w:lang w:val="en-US" w:eastAsia="en-NZ"/>
        </w:rPr>
        <w:t xml:space="preserve"> 2018 Post-Enumeration Survey and 2018-base Estimated Resident Population Release Date Confirmed</w:t>
      </w:r>
    </w:p>
    <w:p w14:paraId="35DCE3CA" w14:textId="77777777" w:rsidR="00615ECF" w:rsidRDefault="00615ECF" w:rsidP="00615ECF"/>
    <w:p w14:paraId="761B8C67" w14:textId="77777777" w:rsidR="00615ECF" w:rsidRDefault="00615ECF" w:rsidP="00615ECF">
      <w:r>
        <w:t xml:space="preserve">Kia </w:t>
      </w:r>
      <w:proofErr w:type="spellStart"/>
      <w:r>
        <w:t>ora</w:t>
      </w:r>
      <w:proofErr w:type="spellEnd"/>
      <w:r>
        <w:t xml:space="preserve">, </w:t>
      </w:r>
    </w:p>
    <w:p w14:paraId="19E64B53" w14:textId="77777777" w:rsidR="00615ECF" w:rsidRDefault="00615ECF" w:rsidP="00615ECF"/>
    <w:p w14:paraId="32E46507" w14:textId="77777777" w:rsidR="00615ECF" w:rsidRDefault="00615ECF" w:rsidP="00615ECF">
      <w:pPr>
        <w:rPr>
          <w:rStyle w:val="normaltextrun"/>
          <w:color w:val="000000"/>
          <w:shd w:val="clear" w:color="auto" w:fill="FFFFFF"/>
        </w:rPr>
      </w:pPr>
      <w:r>
        <w:t xml:space="preserve">Following on from our discussions and updates over the past few months, Stats NZ can confirm that results from the 2018 post-enumeration survey (PES) and the 2018-base estimated resident population (ERP) will be published on </w:t>
      </w:r>
      <w:r>
        <w:rPr>
          <w:b/>
          <w:bCs/>
        </w:rPr>
        <w:t>23 September 2020</w:t>
      </w:r>
      <w:r>
        <w:t xml:space="preserve">. This release will </w:t>
      </w:r>
      <w:r>
        <w:rPr>
          <w:rStyle w:val="normaltextrun"/>
          <w:color w:val="000000"/>
          <w:shd w:val="clear" w:color="auto" w:fill="FFFFFF"/>
        </w:rPr>
        <w:t xml:space="preserve">include revisions to national, subnational, and Māori population estimates for 2014-2019.  </w:t>
      </w:r>
    </w:p>
    <w:p w14:paraId="7F048805" w14:textId="77777777" w:rsidR="00615ECF" w:rsidRDefault="00615ECF" w:rsidP="00615ECF">
      <w:pPr>
        <w:rPr>
          <w:rStyle w:val="normaltextrun"/>
          <w:color w:val="000000"/>
          <w:shd w:val="clear" w:color="auto" w:fill="FFFFFF"/>
        </w:rPr>
      </w:pPr>
    </w:p>
    <w:p w14:paraId="6BE316C8" w14:textId="77777777" w:rsidR="00615ECF" w:rsidRDefault="00615ECF" w:rsidP="00615ECF">
      <w:pPr>
        <w:rPr>
          <w:rStyle w:val="normaltextrun"/>
          <w:color w:val="000000"/>
          <w:shd w:val="clear" w:color="auto" w:fill="FFFFFF"/>
        </w:rPr>
      </w:pPr>
      <w:r>
        <w:rPr>
          <w:rStyle w:val="normaltextrun"/>
          <w:color w:val="000000"/>
          <w:shd w:val="clear" w:color="auto" w:fill="FFFFFF"/>
        </w:rPr>
        <w:t xml:space="preserve">This follows remediation work on the PES as a result of needing to further modify the methodology, to address the complication of the admin enumerations used to enhance the 2018 Census dataset, and to address an issue with how dwellings were selected to be surveyed by the PES. The net undercount estimate from the PES flows through to create the 2018-base ERP, so it has been essential to ensure this estimate is valid prior to producing the ERP itself, to provide accurate estimates of the population based on 2018 Census data. </w:t>
      </w:r>
    </w:p>
    <w:p w14:paraId="01EDF750" w14:textId="77777777" w:rsidR="00615ECF" w:rsidRDefault="00615ECF" w:rsidP="00615ECF">
      <w:pPr>
        <w:rPr>
          <w:rStyle w:val="normaltextrun"/>
          <w:color w:val="000000"/>
        </w:rPr>
      </w:pPr>
    </w:p>
    <w:p w14:paraId="213566E5" w14:textId="77777777" w:rsidR="00615ECF" w:rsidRDefault="00615ECF" w:rsidP="00615ECF">
      <w:r>
        <w:t xml:space="preserve">We are aware the delayed publishing of these results has impacted some customers’ needs, and we appreciate the information and input you have provided to us in our conversations about the delay, as well as your patience and understanding. We understand that these estimates are an important input for your work; this delay was needed </w:t>
      </w:r>
      <w:proofErr w:type="gramStart"/>
      <w:r>
        <w:t>in order to</w:t>
      </w:r>
      <w:proofErr w:type="gramEnd"/>
      <w:r>
        <w:t xml:space="preserve"> ensure </w:t>
      </w:r>
      <w:r>
        <w:rPr>
          <w:rStyle w:val="normaltextrun"/>
          <w:color w:val="000000"/>
        </w:rPr>
        <w:t>we provide robust data that is fit for purpose</w:t>
      </w:r>
      <w:r>
        <w:t xml:space="preserve">. </w:t>
      </w:r>
    </w:p>
    <w:p w14:paraId="18B926D4" w14:textId="77777777" w:rsidR="00615ECF" w:rsidRDefault="00615ECF" w:rsidP="00615ECF"/>
    <w:p w14:paraId="12135003" w14:textId="77777777" w:rsidR="00615ECF" w:rsidRDefault="00615ECF" w:rsidP="00615ECF">
      <w:pPr>
        <w:pStyle w:val="paragraph"/>
        <w:spacing w:before="0" w:beforeAutospacing="0" w:after="0" w:afterAutospacing="0"/>
        <w:textAlignment w:val="baseline"/>
        <w:rPr>
          <w:rFonts w:ascii="Calibri" w:hAnsi="Calibri" w:cs="Calibri"/>
          <w:sz w:val="22"/>
          <w:szCs w:val="22"/>
          <w:lang w:eastAsia="en-US"/>
        </w:rPr>
      </w:pPr>
      <w:r>
        <w:rPr>
          <w:rFonts w:ascii="Calibri" w:hAnsi="Calibri" w:cs="Calibri"/>
          <w:sz w:val="22"/>
          <w:szCs w:val="22"/>
          <w:lang w:eastAsia="en-US"/>
        </w:rPr>
        <w:t xml:space="preserve">Prior to the release, </w:t>
      </w:r>
      <w:r>
        <w:rPr>
          <w:rStyle w:val="normaltextrun"/>
          <w:color w:val="000000"/>
          <w:sz w:val="22"/>
          <w:szCs w:val="22"/>
          <w:shd w:val="clear" w:color="auto" w:fill="FFFFFF"/>
        </w:rPr>
        <w:t>we will be working to prepare the outputs, methodology papers and complete</w:t>
      </w:r>
      <w:r>
        <w:rPr>
          <w:rStyle w:val="normaltextrun1"/>
          <w:rFonts w:ascii="Calibri" w:hAnsi="Calibri" w:cs="Calibri"/>
        </w:rPr>
        <w:t xml:space="preserve"> </w:t>
      </w:r>
      <w:r>
        <w:rPr>
          <w:rFonts w:ascii="Calibri" w:hAnsi="Calibri" w:cs="Calibri"/>
          <w:sz w:val="22"/>
          <w:szCs w:val="22"/>
          <w:lang w:eastAsia="en-US"/>
        </w:rPr>
        <w:t>peer review of the </w:t>
      </w:r>
      <w:r>
        <w:rPr>
          <w:rStyle w:val="normaltextrun"/>
          <w:color w:val="000000"/>
          <w:sz w:val="22"/>
          <w:szCs w:val="22"/>
          <w:shd w:val="clear" w:color="auto" w:fill="FFFFFF"/>
        </w:rPr>
        <w:t>methodology and model used in the PES.  We will continue to work closely with you ahead of the release to keep you informed of progress and will communicate early if any issues arise.</w:t>
      </w:r>
      <w:r>
        <w:rPr>
          <w:rFonts w:ascii="Calibri" w:hAnsi="Calibri" w:cs="Calibri"/>
          <w:sz w:val="22"/>
          <w:szCs w:val="22"/>
          <w:lang w:eastAsia="en-US"/>
        </w:rPr>
        <w:t> </w:t>
      </w:r>
    </w:p>
    <w:p w14:paraId="09F13106" w14:textId="77777777" w:rsidR="00615ECF" w:rsidRDefault="00615ECF" w:rsidP="00615ECF">
      <w:pPr>
        <w:pStyle w:val="paragraph"/>
        <w:spacing w:before="0" w:beforeAutospacing="0" w:after="0" w:afterAutospacing="0"/>
        <w:textAlignment w:val="baseline"/>
        <w:rPr>
          <w:rFonts w:ascii="Calibri" w:hAnsi="Calibri" w:cs="Calibri"/>
          <w:sz w:val="22"/>
          <w:szCs w:val="22"/>
        </w:rPr>
      </w:pPr>
    </w:p>
    <w:p w14:paraId="04F273EC" w14:textId="77777777" w:rsidR="00615ECF" w:rsidRDefault="00615ECF" w:rsidP="00615ECF">
      <w:pPr>
        <w:rPr>
          <w:rStyle w:val="normaltextrun"/>
          <w:color w:val="000000"/>
          <w:bdr w:val="none" w:sz="0" w:space="0" w:color="auto" w:frame="1"/>
        </w:rPr>
      </w:pPr>
      <w:r>
        <w:t>T</w:t>
      </w:r>
      <w:r>
        <w:rPr>
          <w:rStyle w:val="normaltextrun"/>
          <w:color w:val="000000"/>
          <w:bdr w:val="none" w:sz="0" w:space="0" w:color="auto" w:frame="1"/>
        </w:rPr>
        <w:t>he first demographic projections produced will be national population projections, which will be released in late 2020. These will be followed by subnational population projections at territorial authority and Auckland local board area level in early 2021. We will also be scheduling updates to period life tables based on the 2018-base ERP. We expect to update the Stats NZ release calendar with these release dates by August 2020.</w:t>
      </w:r>
    </w:p>
    <w:p w14:paraId="6455D5CF" w14:textId="77777777" w:rsidR="00615ECF" w:rsidRDefault="00615ECF" w:rsidP="00615ECF">
      <w:pPr>
        <w:rPr>
          <w:rStyle w:val="normaltextrun"/>
          <w:color w:val="000000"/>
          <w:bdr w:val="none" w:sz="0" w:space="0" w:color="auto" w:frame="1"/>
        </w:rPr>
      </w:pPr>
    </w:p>
    <w:p w14:paraId="4BF8656D" w14:textId="77777777" w:rsidR="00615ECF" w:rsidRDefault="00615ECF" w:rsidP="00615ECF">
      <w:r>
        <w:t xml:space="preserve">Please let us know if you would like any further information or discussion about the release of PES results and ERP, or if any of your needs have changed due to Covid-19, by emailing </w:t>
      </w:r>
      <w:hyperlink r:id="rId15" w:history="1">
        <w:r>
          <w:rPr>
            <w:rStyle w:val="Hyperlink"/>
          </w:rPr>
          <w:t>demography@stats.govt.nz</w:t>
        </w:r>
      </w:hyperlink>
      <w:r>
        <w:t xml:space="preserve">. </w:t>
      </w:r>
    </w:p>
    <w:p w14:paraId="1357F0C6" w14:textId="77777777" w:rsidR="00615ECF" w:rsidRDefault="00615ECF" w:rsidP="00615ECF"/>
    <w:p w14:paraId="2FBC9E2B" w14:textId="77777777" w:rsidR="00615ECF" w:rsidRDefault="00615ECF" w:rsidP="00615ECF">
      <w:r>
        <w:t>Regards</w:t>
      </w:r>
    </w:p>
    <w:p w14:paraId="720CA0F9" w14:textId="77777777" w:rsidR="00615ECF" w:rsidRDefault="00615ECF" w:rsidP="00615ECF">
      <w:r>
        <w:t>Brooke</w:t>
      </w:r>
    </w:p>
    <w:p w14:paraId="698869FD" w14:textId="77777777" w:rsidR="00615ECF" w:rsidRDefault="00615ECF" w:rsidP="00615ECF"/>
    <w:p w14:paraId="315700BA" w14:textId="77777777" w:rsidR="00615ECF" w:rsidRDefault="00615ECF" w:rsidP="00615ECF">
      <w:pPr>
        <w:rPr>
          <w:lang w:eastAsia="en-NZ"/>
        </w:rPr>
      </w:pPr>
      <w:r>
        <w:rPr>
          <w:rFonts w:ascii="Source Sans Pro SemiBold" w:hAnsi="Source Sans Pro SemiBold"/>
          <w:color w:val="005C76"/>
          <w:lang w:eastAsia="en-NZ"/>
        </w:rPr>
        <w:t xml:space="preserve">Brooke </w:t>
      </w:r>
      <w:proofErr w:type="spellStart"/>
      <w:r>
        <w:rPr>
          <w:rFonts w:ascii="Source Sans Pro SemiBold" w:hAnsi="Source Sans Pro SemiBold"/>
          <w:color w:val="005C76"/>
          <w:lang w:eastAsia="en-NZ"/>
        </w:rPr>
        <w:t>Theyers</w:t>
      </w:r>
      <w:proofErr w:type="spellEnd"/>
      <w:r>
        <w:rPr>
          <w:b/>
          <w:bCs/>
          <w:color w:val="917A05"/>
          <w:lang w:eastAsia="en-NZ"/>
        </w:rPr>
        <w:br/>
      </w:r>
      <w:r>
        <w:rPr>
          <w:rFonts w:ascii="Source Sans Pro" w:hAnsi="Source Sans Pro"/>
          <w:color w:val="000000"/>
          <w:lang w:eastAsia="en-NZ"/>
        </w:rPr>
        <w:t xml:space="preserve">Senior Manager – Population Insights | </w:t>
      </w:r>
      <w:proofErr w:type="spellStart"/>
      <w:r>
        <w:rPr>
          <w:rFonts w:ascii="Source Sans Pro" w:hAnsi="Source Sans Pro"/>
          <w:color w:val="000000"/>
          <w:lang w:eastAsia="en-NZ"/>
        </w:rPr>
        <w:t>Kaiwhakahaere</w:t>
      </w:r>
      <w:proofErr w:type="spellEnd"/>
      <w:r>
        <w:rPr>
          <w:rFonts w:ascii="Source Sans Pro" w:hAnsi="Source Sans Pro"/>
          <w:color w:val="000000"/>
          <w:lang w:eastAsia="en-NZ"/>
        </w:rPr>
        <w:t xml:space="preserve"> Matua – </w:t>
      </w:r>
      <w:proofErr w:type="spellStart"/>
      <w:r>
        <w:rPr>
          <w:lang w:eastAsia="en-NZ"/>
        </w:rPr>
        <w:t>Ngā</w:t>
      </w:r>
      <w:proofErr w:type="spellEnd"/>
      <w:r>
        <w:rPr>
          <w:lang w:eastAsia="en-NZ"/>
        </w:rPr>
        <w:t xml:space="preserve"> </w:t>
      </w:r>
      <w:proofErr w:type="spellStart"/>
      <w:r>
        <w:rPr>
          <w:lang w:eastAsia="en-NZ"/>
        </w:rPr>
        <w:t>Māramatanga</w:t>
      </w:r>
      <w:proofErr w:type="spellEnd"/>
      <w:r>
        <w:rPr>
          <w:lang w:eastAsia="en-NZ"/>
        </w:rPr>
        <w:t xml:space="preserve"> </w:t>
      </w:r>
      <w:proofErr w:type="spellStart"/>
      <w:r>
        <w:rPr>
          <w:lang w:eastAsia="en-NZ"/>
        </w:rPr>
        <w:t>Taupori</w:t>
      </w:r>
      <w:proofErr w:type="spellEnd"/>
    </w:p>
    <w:p w14:paraId="71C3B609" w14:textId="77777777" w:rsidR="00615ECF" w:rsidRDefault="00615ECF" w:rsidP="00615ECF">
      <w:pPr>
        <w:rPr>
          <w:rFonts w:ascii="Source Sans Pro" w:hAnsi="Source Sans Pro"/>
          <w:lang w:eastAsia="en-NZ"/>
        </w:rPr>
      </w:pPr>
      <w:r>
        <w:rPr>
          <w:rFonts w:ascii="Source Sans Pro" w:hAnsi="Source Sans Pro"/>
          <w:lang w:val="en-US" w:eastAsia="en-NZ"/>
        </w:rPr>
        <w:t>Social and Population Insights</w:t>
      </w:r>
      <w:r>
        <w:rPr>
          <w:rFonts w:ascii="Source Sans Pro" w:hAnsi="Source Sans Pro"/>
          <w:color w:val="000000"/>
          <w:lang w:eastAsia="en-NZ"/>
        </w:rPr>
        <w:t xml:space="preserve"> |</w:t>
      </w:r>
      <w:r>
        <w:rPr>
          <w:rFonts w:ascii="Source Sans Pro" w:hAnsi="Source Sans Pro"/>
          <w:lang w:val="en-US" w:eastAsia="en-NZ"/>
        </w:rPr>
        <w:t> </w:t>
      </w:r>
      <w:proofErr w:type="spellStart"/>
      <w:r>
        <w:rPr>
          <w:rFonts w:ascii="Source Sans Pro" w:hAnsi="Source Sans Pro"/>
          <w:lang w:val="en-US" w:eastAsia="en-NZ"/>
        </w:rPr>
        <w:t>Ngā</w:t>
      </w:r>
      <w:proofErr w:type="spellEnd"/>
      <w:r>
        <w:rPr>
          <w:rFonts w:ascii="Source Sans Pro" w:hAnsi="Source Sans Pro"/>
          <w:lang w:val="en-US" w:eastAsia="en-NZ"/>
        </w:rPr>
        <w:t xml:space="preserve"> </w:t>
      </w:r>
      <w:proofErr w:type="spellStart"/>
      <w:r>
        <w:rPr>
          <w:rFonts w:ascii="Source Sans Pro" w:hAnsi="Source Sans Pro"/>
          <w:lang w:val="en-US" w:eastAsia="en-NZ"/>
        </w:rPr>
        <w:t>Mātau</w:t>
      </w:r>
      <w:proofErr w:type="spellEnd"/>
      <w:r>
        <w:rPr>
          <w:rFonts w:ascii="Source Sans Pro" w:hAnsi="Source Sans Pro"/>
          <w:lang w:val="en-US" w:eastAsia="en-NZ"/>
        </w:rPr>
        <w:t xml:space="preserve"> </w:t>
      </w:r>
      <w:proofErr w:type="spellStart"/>
      <w:r>
        <w:rPr>
          <w:rFonts w:ascii="Source Sans Pro" w:hAnsi="Source Sans Pro"/>
          <w:lang w:val="en-US" w:eastAsia="en-NZ"/>
        </w:rPr>
        <w:t>Pāpori</w:t>
      </w:r>
      <w:proofErr w:type="spellEnd"/>
      <w:r>
        <w:rPr>
          <w:rFonts w:ascii="Source Sans Pro" w:hAnsi="Source Sans Pro"/>
          <w:lang w:val="en-US" w:eastAsia="en-NZ"/>
        </w:rPr>
        <w:t xml:space="preserve"> me </w:t>
      </w:r>
      <w:proofErr w:type="spellStart"/>
      <w:r>
        <w:rPr>
          <w:rFonts w:ascii="Source Sans Pro" w:hAnsi="Source Sans Pro"/>
          <w:lang w:val="en-US" w:eastAsia="en-NZ"/>
        </w:rPr>
        <w:t>te</w:t>
      </w:r>
      <w:proofErr w:type="spellEnd"/>
      <w:r>
        <w:rPr>
          <w:rFonts w:ascii="Source Sans Pro" w:hAnsi="Source Sans Pro"/>
          <w:lang w:val="en-US" w:eastAsia="en-NZ"/>
        </w:rPr>
        <w:t xml:space="preserve"> </w:t>
      </w:r>
      <w:proofErr w:type="spellStart"/>
      <w:r>
        <w:rPr>
          <w:rFonts w:ascii="Source Sans Pro" w:hAnsi="Source Sans Pro"/>
          <w:lang w:val="en-US" w:eastAsia="en-NZ"/>
        </w:rPr>
        <w:t>Taupori</w:t>
      </w:r>
      <w:proofErr w:type="spellEnd"/>
      <w:r>
        <w:rPr>
          <w:rFonts w:ascii="Source Sans Pro" w:hAnsi="Source Sans Pro"/>
          <w:b/>
          <w:bCs/>
          <w:color w:val="000000"/>
          <w:lang w:eastAsia="en-NZ"/>
        </w:rPr>
        <w:br/>
      </w:r>
      <w:r>
        <w:rPr>
          <w:rFonts w:ascii="Source Sans Pro" w:hAnsi="Source Sans Pro"/>
          <w:color w:val="000000"/>
          <w:lang w:eastAsia="en-NZ"/>
        </w:rPr>
        <w:t xml:space="preserve">Stats NZ </w:t>
      </w:r>
      <w:proofErr w:type="spellStart"/>
      <w:r>
        <w:rPr>
          <w:rFonts w:ascii="Source Sans Pro" w:hAnsi="Source Sans Pro"/>
          <w:color w:val="000000"/>
          <w:lang w:eastAsia="en-NZ"/>
        </w:rPr>
        <w:t>Tatauranga</w:t>
      </w:r>
      <w:proofErr w:type="spellEnd"/>
      <w:r>
        <w:rPr>
          <w:rFonts w:ascii="Source Sans Pro" w:hAnsi="Source Sans Pro"/>
          <w:color w:val="000000"/>
          <w:lang w:eastAsia="en-NZ"/>
        </w:rPr>
        <w:t xml:space="preserve"> Aotearoa </w:t>
      </w:r>
      <w:r>
        <w:rPr>
          <w:rFonts w:ascii="Source Sans Pro" w:hAnsi="Source Sans Pro"/>
          <w:b/>
          <w:bCs/>
          <w:color w:val="000000"/>
          <w:lang w:eastAsia="en-NZ"/>
        </w:rPr>
        <w:br/>
        <w:t>DDI</w:t>
      </w:r>
      <w:r>
        <w:rPr>
          <w:rFonts w:ascii="Source Sans Pro" w:hAnsi="Source Sans Pro"/>
          <w:color w:val="000000"/>
          <w:lang w:eastAsia="en-NZ"/>
        </w:rPr>
        <w:t xml:space="preserve"> +64 3 964 8331 | </w:t>
      </w:r>
      <w:r>
        <w:rPr>
          <w:rFonts w:ascii="Source Sans Pro" w:hAnsi="Source Sans Pro"/>
          <w:b/>
          <w:bCs/>
          <w:color w:val="000000"/>
          <w:lang w:eastAsia="en-NZ"/>
        </w:rPr>
        <w:t xml:space="preserve">M </w:t>
      </w:r>
      <w:r>
        <w:rPr>
          <w:rFonts w:ascii="Source Sans Pro" w:hAnsi="Source Sans Pro"/>
          <w:color w:val="000000"/>
          <w:lang w:eastAsia="en-NZ"/>
        </w:rPr>
        <w:t xml:space="preserve">+64 21 589 466 | </w:t>
      </w:r>
      <w:hyperlink r:id="rId16" w:history="1">
        <w:r>
          <w:rPr>
            <w:rStyle w:val="Hyperlink"/>
            <w:color w:val="4E5B61"/>
            <w:sz w:val="24"/>
            <w:szCs w:val="24"/>
            <w:lang w:eastAsia="en-NZ"/>
          </w:rPr>
          <w:t>stats.govt.nz</w:t>
        </w:r>
      </w:hyperlink>
    </w:p>
    <w:p w14:paraId="7C2B68A2" w14:textId="77777777" w:rsidR="00615ECF" w:rsidRDefault="00615ECF" w:rsidP="00615ECF"/>
    <w:p w14:paraId="285A0850" w14:textId="77777777" w:rsidR="00615ECF" w:rsidRDefault="00615ECF" w:rsidP="00615ECF">
      <w:pPr>
        <w:pStyle w:val="NormalWeb"/>
        <w:spacing w:before="0" w:beforeAutospacing="0" w:after="0" w:afterAutospacing="0"/>
        <w:rPr>
          <w:color w:val="0B0C0C"/>
        </w:rPr>
      </w:pPr>
    </w:p>
    <w:bookmarkEnd w:id="0"/>
    <w:sectPr w:rsidR="00615E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emialcxesans">
    <w:altName w:val="Calibri"/>
    <w:charset w:val="00"/>
    <w:family w:val="auto"/>
    <w:pitch w:val="default"/>
  </w:font>
  <w:font w:name="Source Sans Pro SemiBold">
    <w:charset w:val="00"/>
    <w:family w:val="swiss"/>
    <w:pitch w:val="variable"/>
    <w:sig w:usb0="600002F7" w:usb1="02000001" w:usb2="00000000"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ECF"/>
    <w:rsid w:val="002B4417"/>
    <w:rsid w:val="00615EC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9E8A1"/>
  <w15:chartTrackingRefBased/>
  <w15:docId w15:val="{C24AD33B-442B-43DA-BC2C-54F17488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ECF"/>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5ECF"/>
    <w:rPr>
      <w:color w:val="0563C1"/>
      <w:u w:val="single"/>
    </w:rPr>
  </w:style>
  <w:style w:type="paragraph" w:styleId="NormalWeb">
    <w:name w:val="Normal (Web)"/>
    <w:basedOn w:val="Normal"/>
    <w:uiPriority w:val="99"/>
    <w:semiHidden/>
    <w:unhideWhenUsed/>
    <w:rsid w:val="00615ECF"/>
    <w:pPr>
      <w:spacing w:before="100" w:beforeAutospacing="1" w:after="100" w:afterAutospacing="1"/>
    </w:pPr>
    <w:rPr>
      <w:lang w:eastAsia="en-NZ"/>
    </w:rPr>
  </w:style>
  <w:style w:type="paragraph" w:customStyle="1" w:styleId="Default">
    <w:name w:val="Default"/>
    <w:basedOn w:val="Normal"/>
    <w:uiPriority w:val="99"/>
    <w:semiHidden/>
    <w:rsid w:val="00615ECF"/>
    <w:pPr>
      <w:autoSpaceDE w:val="0"/>
      <w:autoSpaceDN w:val="0"/>
    </w:pPr>
    <w:rPr>
      <w:color w:val="000000"/>
      <w:sz w:val="24"/>
      <w:szCs w:val="24"/>
    </w:rPr>
  </w:style>
  <w:style w:type="paragraph" w:customStyle="1" w:styleId="paragraph">
    <w:name w:val="paragraph"/>
    <w:basedOn w:val="Normal"/>
    <w:uiPriority w:val="99"/>
    <w:semiHidden/>
    <w:rsid w:val="00615ECF"/>
    <w:pPr>
      <w:spacing w:before="100" w:beforeAutospacing="1" w:after="100" w:afterAutospacing="1"/>
    </w:pPr>
    <w:rPr>
      <w:rFonts w:ascii="Times New Roman" w:hAnsi="Times New Roman" w:cs="Times New Roman"/>
      <w:sz w:val="24"/>
      <w:szCs w:val="24"/>
      <w:lang w:eastAsia="en-NZ"/>
    </w:rPr>
  </w:style>
  <w:style w:type="character" w:customStyle="1" w:styleId="normaltextrun">
    <w:name w:val="normaltextrun"/>
    <w:basedOn w:val="DefaultParagraphFont"/>
    <w:rsid w:val="00615ECF"/>
  </w:style>
  <w:style w:type="character" w:customStyle="1" w:styleId="normaltextrun1">
    <w:name w:val="normaltextrun1"/>
    <w:basedOn w:val="DefaultParagraphFont"/>
    <w:rsid w:val="00615ECF"/>
  </w:style>
  <w:style w:type="character" w:styleId="Strong">
    <w:name w:val="Strong"/>
    <w:basedOn w:val="DefaultParagraphFont"/>
    <w:uiPriority w:val="22"/>
    <w:qFormat/>
    <w:rsid w:val="00615E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699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waikatoregion" TargetMode="External"/><Relationship Id="rId13" Type="http://schemas.openxmlformats.org/officeDocument/2006/relationships/hyperlink" Target="mailto:lindsay.davis@stats.govt.nz"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tel:+6421368954" TargetMode="External"/><Relationship Id="rId12" Type="http://schemas.openxmlformats.org/officeDocument/2006/relationships/hyperlink" Target="mailto:joel.watkins@stats.govt.nz"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stats.govt.nz/" TargetMode="External"/><Relationship Id="rId1" Type="http://schemas.openxmlformats.org/officeDocument/2006/relationships/styles" Target="styles.xml"/><Relationship Id="rId6" Type="http://schemas.openxmlformats.org/officeDocument/2006/relationships/hyperlink" Target="tel:+6478590854" TargetMode="External"/><Relationship Id="rId11" Type="http://schemas.openxmlformats.org/officeDocument/2006/relationships/hyperlink" Target="mailto:michelle.feyen@stats.govt.nz" TargetMode="External"/><Relationship Id="rId5" Type="http://schemas.openxmlformats.org/officeDocument/2006/relationships/hyperlink" Target="http://www.creatingfutures.org.nz/waikato-projections-demographic-and-economic/" TargetMode="External"/><Relationship Id="rId15" Type="http://schemas.openxmlformats.org/officeDocument/2006/relationships/hyperlink" Target="mailto:demography@stats.govt.nz" TargetMode="External"/><Relationship Id="rId10" Type="http://schemas.openxmlformats.org/officeDocument/2006/relationships/hyperlink" Target="mailto:brooke.theyers@stats.govt.nz" TargetMode="External"/><Relationship Id="rId4" Type="http://schemas.openxmlformats.org/officeDocument/2006/relationships/hyperlink" Target="http://www.creatingfutures.org.nz/waikato-projections-demographic-and-economic/" TargetMode="External"/><Relationship Id="rId9" Type="http://schemas.openxmlformats.org/officeDocument/2006/relationships/image" Target="media/image1.png"/><Relationship Id="rId14" Type="http://schemas.openxmlformats.org/officeDocument/2006/relationships/hyperlink" Target="mailto:kim.dunstan@stats.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887</Words>
  <Characters>5058</Characters>
  <Application>Microsoft Office Word</Application>
  <DocSecurity>0</DocSecurity>
  <Lines>42</Lines>
  <Paragraphs>11</Paragraphs>
  <ScaleCrop>false</ScaleCrop>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 Huser</dc:creator>
  <cp:keywords/>
  <dc:description/>
  <cp:lastModifiedBy>Beat Huser</cp:lastModifiedBy>
  <cp:revision>2</cp:revision>
  <dcterms:created xsi:type="dcterms:W3CDTF">2020-08-25T00:37:00Z</dcterms:created>
  <dcterms:modified xsi:type="dcterms:W3CDTF">2020-08-25T00:37:00Z</dcterms:modified>
</cp:coreProperties>
</file>