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EB3D4C" w:rsidRPr="0034633C" w:rsidRDefault="0039008E" w:rsidP="0034633C">
      <w:pPr>
        <w:pStyle w:val="NoSpacing"/>
        <w:spacing w:after="120"/>
        <w:jc w:val="center"/>
        <w:rPr>
          <w:b/>
          <w:color w:val="17365D" w:themeColor="text2" w:themeShade="BF"/>
          <w:sz w:val="40"/>
          <w:szCs w:val="40"/>
          <w:lang w:val="en-NZ" w:eastAsia="en-US"/>
        </w:rPr>
      </w:pPr>
      <w:r>
        <w:rPr>
          <w:b/>
          <w:color w:val="17365D" w:themeColor="text2" w:themeShade="BF"/>
          <w:sz w:val="40"/>
          <w:szCs w:val="40"/>
          <w:lang w:val="en-NZ" w:eastAsia="en-US"/>
        </w:rPr>
        <w:t>Projections for the Waikato Region</w:t>
      </w:r>
      <w:r w:rsidR="004D4F31" w:rsidRPr="0034633C">
        <w:rPr>
          <w:b/>
          <w:color w:val="17365D" w:themeColor="text2" w:themeShade="BF"/>
          <w:sz w:val="40"/>
          <w:szCs w:val="40"/>
          <w:lang w:val="en-NZ" w:eastAsia="en-US"/>
        </w:rPr>
        <w:t xml:space="preserve"> </w:t>
      </w:r>
    </w:p>
    <w:p w:rsidR="00474E46" w:rsidRPr="00EB3D4C" w:rsidRDefault="0034633C" w:rsidP="00EB3D4C">
      <w:pPr>
        <w:pStyle w:val="NoSpacing"/>
        <w:spacing w:before="120" w:after="120"/>
        <w:jc w:val="center"/>
        <w:rPr>
          <w:rFonts w:asciiTheme="minorHAnsi" w:hAnsiTheme="minorHAnsi"/>
          <w:sz w:val="28"/>
          <w:szCs w:val="28"/>
        </w:rPr>
      </w:pPr>
      <w:r>
        <w:rPr>
          <w:rFonts w:asciiTheme="minorHAnsi" w:hAnsiTheme="minorHAnsi"/>
          <w:b/>
          <w:color w:val="17365D" w:themeColor="text2" w:themeShade="BF"/>
          <w:sz w:val="28"/>
          <w:szCs w:val="28"/>
          <w:lang w:val="en-NZ" w:eastAsia="en-US"/>
        </w:rPr>
        <w:t>Meeting Notes</w:t>
      </w:r>
    </w:p>
    <w:p w:rsidR="00D50943" w:rsidRPr="00EB3D4C" w:rsidRDefault="000109DB" w:rsidP="00E05E25">
      <w:pPr>
        <w:pStyle w:val="Heading2"/>
        <w:jc w:val="center"/>
      </w:pPr>
      <w:r>
        <w:t>Wednesday 29</w:t>
      </w:r>
      <w:r w:rsidR="00F6273F">
        <w:rPr>
          <w:vertAlign w:val="superscript"/>
        </w:rPr>
        <w:t>th</w:t>
      </w:r>
      <w:r>
        <w:t xml:space="preserve"> March</w:t>
      </w:r>
      <w:r w:rsidR="002C1FDE">
        <w:t xml:space="preserve"> </w:t>
      </w:r>
      <w:r w:rsidR="00BC23D1">
        <w:t>2017</w:t>
      </w:r>
      <w:r w:rsidR="00584E61">
        <w:t xml:space="preserve">, </w:t>
      </w:r>
      <w:r>
        <w:t>1</w:t>
      </w:r>
      <w:r w:rsidR="00584E61">
        <w:t>.00</w:t>
      </w:r>
      <w:r w:rsidR="009C5159">
        <w:t xml:space="preserve"> – </w:t>
      </w:r>
      <w:r>
        <w:t>3</w:t>
      </w:r>
      <w:r w:rsidR="00F266ED">
        <w:t>.00</w:t>
      </w:r>
      <w:r>
        <w:t>pm</w:t>
      </w:r>
    </w:p>
    <w:p w:rsidR="00D75D8B" w:rsidRPr="0034633C" w:rsidRDefault="00F266ED" w:rsidP="0034633C">
      <w:pPr>
        <w:pStyle w:val="Heading2"/>
        <w:jc w:val="center"/>
      </w:pPr>
      <w:r>
        <w:t>Waikato Regional Council, Waikato</w:t>
      </w:r>
      <w:r w:rsidR="009C5159">
        <w:t xml:space="preserve"> Room </w:t>
      </w:r>
    </w:p>
    <w:p w:rsidR="004D4F31" w:rsidRPr="008D471D" w:rsidRDefault="004D4F31" w:rsidP="00452D6F">
      <w:pPr>
        <w:spacing w:line="276" w:lineRule="auto"/>
        <w:rPr>
          <w:b/>
          <w:color w:val="17365D" w:themeColor="text2" w:themeShade="BF"/>
          <w:sz w:val="20"/>
        </w:rPr>
      </w:pPr>
    </w:p>
    <w:p w:rsidR="00452D6F" w:rsidRPr="00452D6F" w:rsidRDefault="00AE4281" w:rsidP="00452D6F">
      <w:pPr>
        <w:spacing w:line="276" w:lineRule="auto"/>
        <w:rPr>
          <w:sz w:val="28"/>
          <w:szCs w:val="28"/>
        </w:rPr>
      </w:pPr>
      <w:r w:rsidRPr="00452D6F">
        <w:rPr>
          <w:b/>
          <w:color w:val="17365D" w:themeColor="text2" w:themeShade="BF"/>
          <w:sz w:val="28"/>
          <w:szCs w:val="28"/>
        </w:rPr>
        <w:t>Objective</w:t>
      </w:r>
      <w:r w:rsidR="005818A0">
        <w:rPr>
          <w:b/>
          <w:color w:val="17365D" w:themeColor="text2" w:themeShade="BF"/>
          <w:sz w:val="28"/>
          <w:szCs w:val="28"/>
        </w:rPr>
        <w:t>s</w:t>
      </w:r>
    </w:p>
    <w:p w:rsidR="00F266ED" w:rsidRPr="004D4F31" w:rsidRDefault="000109DB" w:rsidP="000109DB">
      <w:pPr>
        <w:pStyle w:val="ListParagraph"/>
        <w:numPr>
          <w:ilvl w:val="0"/>
          <w:numId w:val="3"/>
        </w:numPr>
        <w:ind w:left="426" w:hanging="426"/>
        <w:contextualSpacing w:val="0"/>
        <w:jc w:val="left"/>
        <w:rPr>
          <w:rFonts w:ascii="Calibri" w:eastAsia="Times New Roman" w:hAnsi="Calibri"/>
          <w:sz w:val="24"/>
          <w:szCs w:val="24"/>
          <w:lang w:val="en-NZ"/>
        </w:rPr>
      </w:pPr>
      <w:r>
        <w:rPr>
          <w:sz w:val="24"/>
          <w:szCs w:val="24"/>
        </w:rPr>
        <w:t>Timeline of 2018 Census projection work – council needs and deadlines for deliverables.</w:t>
      </w:r>
    </w:p>
    <w:p w:rsidR="00F266ED" w:rsidRPr="004D4F31" w:rsidRDefault="000109DB" w:rsidP="000109DB">
      <w:pPr>
        <w:pStyle w:val="ListParagraph"/>
        <w:numPr>
          <w:ilvl w:val="0"/>
          <w:numId w:val="3"/>
        </w:numPr>
        <w:ind w:left="426" w:hanging="426"/>
        <w:contextualSpacing w:val="0"/>
        <w:jc w:val="left"/>
        <w:rPr>
          <w:sz w:val="24"/>
          <w:szCs w:val="24"/>
        </w:rPr>
      </w:pPr>
      <w:r>
        <w:rPr>
          <w:sz w:val="24"/>
          <w:szCs w:val="24"/>
        </w:rPr>
        <w:t>Household modelling – options for including households in WISE model.</w:t>
      </w:r>
    </w:p>
    <w:p w:rsidR="00D040B0" w:rsidRDefault="00D040B0" w:rsidP="00452D6F">
      <w:pPr>
        <w:spacing w:line="276" w:lineRule="auto"/>
      </w:pPr>
    </w:p>
    <w:p w:rsidR="009C5159" w:rsidRDefault="0034633C" w:rsidP="0034633C">
      <w:pPr>
        <w:rPr>
          <w:b/>
          <w:color w:val="17365D" w:themeColor="text2" w:themeShade="BF"/>
          <w:sz w:val="28"/>
          <w:szCs w:val="28"/>
        </w:rPr>
      </w:pPr>
      <w:r>
        <w:rPr>
          <w:b/>
          <w:color w:val="17365D" w:themeColor="text2" w:themeShade="BF"/>
          <w:sz w:val="28"/>
          <w:szCs w:val="28"/>
        </w:rPr>
        <w:t>Attendants</w:t>
      </w:r>
    </w:p>
    <w:p w:rsidR="00D75D8B" w:rsidRDefault="00672B3F" w:rsidP="000109DB">
      <w:pPr>
        <w:rPr>
          <w:szCs w:val="22"/>
        </w:rPr>
      </w:pPr>
      <w:r w:rsidRPr="000109DB">
        <w:rPr>
          <w:szCs w:val="22"/>
        </w:rPr>
        <w:t>Beat Huser</w:t>
      </w:r>
      <w:r w:rsidR="00BC23D1" w:rsidRPr="000109DB">
        <w:rPr>
          <w:szCs w:val="22"/>
        </w:rPr>
        <w:t xml:space="preserve"> (WRC- Chair), </w:t>
      </w:r>
      <w:r w:rsidR="00F6273F" w:rsidRPr="000109DB">
        <w:rPr>
          <w:szCs w:val="22"/>
        </w:rPr>
        <w:t xml:space="preserve">Greg Carstens (HCC), </w:t>
      </w:r>
      <w:r w:rsidR="00F266ED" w:rsidRPr="000109DB">
        <w:rPr>
          <w:szCs w:val="22"/>
        </w:rPr>
        <w:t xml:space="preserve">Nathan Dalgety (HCC), </w:t>
      </w:r>
      <w:r w:rsidR="00BC23D1" w:rsidRPr="000109DB">
        <w:rPr>
          <w:szCs w:val="22"/>
        </w:rPr>
        <w:t>David Totman</w:t>
      </w:r>
      <w:r w:rsidR="00F6273F" w:rsidRPr="000109DB">
        <w:rPr>
          <w:szCs w:val="22"/>
        </w:rPr>
        <w:t xml:space="preserve"> (Waipa DC), </w:t>
      </w:r>
      <w:r w:rsidR="000109DB" w:rsidRPr="000109DB">
        <w:rPr>
          <w:szCs w:val="22"/>
        </w:rPr>
        <w:t>Anton Marais</w:t>
      </w:r>
      <w:r w:rsidR="00BC23D1" w:rsidRPr="000109DB">
        <w:rPr>
          <w:szCs w:val="22"/>
        </w:rPr>
        <w:t xml:space="preserve"> (W</w:t>
      </w:r>
      <w:r w:rsidR="00F6273F" w:rsidRPr="000109DB">
        <w:rPr>
          <w:szCs w:val="22"/>
        </w:rPr>
        <w:t xml:space="preserve">DC), </w:t>
      </w:r>
      <w:r w:rsidR="00BC23D1" w:rsidRPr="000109DB">
        <w:rPr>
          <w:szCs w:val="22"/>
        </w:rPr>
        <w:t>Scott Summerfield (TCDC),</w:t>
      </w:r>
      <w:r w:rsidR="00354174" w:rsidRPr="000109DB">
        <w:rPr>
          <w:szCs w:val="22"/>
        </w:rPr>
        <w:t xml:space="preserve"> Dawn Inglis (RATA – WRTM Project Manager),</w:t>
      </w:r>
      <w:r w:rsidR="006216B5" w:rsidRPr="000109DB">
        <w:rPr>
          <w:szCs w:val="22"/>
        </w:rPr>
        <w:t xml:space="preserve"> </w:t>
      </w:r>
      <w:r w:rsidR="000109DB" w:rsidRPr="000109DB">
        <w:rPr>
          <w:bCs/>
          <w:szCs w:val="22"/>
        </w:rPr>
        <w:t>Te Hao Apaapa-Timu</w:t>
      </w:r>
      <w:r w:rsidR="000109DB" w:rsidRPr="000109DB">
        <w:rPr>
          <w:szCs w:val="22"/>
        </w:rPr>
        <w:t xml:space="preserve"> </w:t>
      </w:r>
      <w:r w:rsidR="00354174" w:rsidRPr="000109DB">
        <w:rPr>
          <w:szCs w:val="22"/>
        </w:rPr>
        <w:t xml:space="preserve">(SWDC), </w:t>
      </w:r>
      <w:r w:rsidRPr="000109DB">
        <w:rPr>
          <w:szCs w:val="22"/>
        </w:rPr>
        <w:t>Derek Phyn (WRC),</w:t>
      </w:r>
      <w:r w:rsidR="00BC23D1" w:rsidRPr="000109DB">
        <w:rPr>
          <w:szCs w:val="22"/>
        </w:rPr>
        <w:t xml:space="preserve"> </w:t>
      </w:r>
      <w:r w:rsidR="00F6273F" w:rsidRPr="000109DB">
        <w:rPr>
          <w:szCs w:val="22"/>
        </w:rPr>
        <w:t xml:space="preserve">Craig Briggs (WRC), Tony Fenton (Alchemists Ltd), </w:t>
      </w:r>
      <w:r w:rsidR="003B44C8" w:rsidRPr="000109DB">
        <w:rPr>
          <w:szCs w:val="22"/>
        </w:rPr>
        <w:t xml:space="preserve">Michael Cameron </w:t>
      </w:r>
      <w:r w:rsidR="00BC23D1" w:rsidRPr="000109DB">
        <w:rPr>
          <w:szCs w:val="22"/>
        </w:rPr>
        <w:t>(by Phone</w:t>
      </w:r>
      <w:r w:rsidR="000109DB">
        <w:rPr>
          <w:szCs w:val="22"/>
        </w:rPr>
        <w:t>, from 2.10pm</w:t>
      </w:r>
      <w:r w:rsidR="00BC23D1" w:rsidRPr="000109DB">
        <w:rPr>
          <w:szCs w:val="22"/>
        </w:rPr>
        <w:t>)</w:t>
      </w:r>
      <w:r w:rsidR="003B44C8" w:rsidRPr="000109DB">
        <w:rPr>
          <w:szCs w:val="22"/>
        </w:rPr>
        <w:t>(NIDEA).</w:t>
      </w:r>
      <w:r w:rsidR="00F6273F" w:rsidRPr="000109DB">
        <w:rPr>
          <w:szCs w:val="22"/>
        </w:rPr>
        <w:t xml:space="preserve"> </w:t>
      </w:r>
    </w:p>
    <w:p w:rsidR="000109DB" w:rsidRPr="000109DB" w:rsidRDefault="000109DB" w:rsidP="000109DB">
      <w:pPr>
        <w:rPr>
          <w:szCs w:val="22"/>
        </w:rPr>
      </w:pPr>
    </w:p>
    <w:p w:rsidR="0034633C" w:rsidRDefault="0034633C" w:rsidP="0034633C">
      <w:r>
        <w:rPr>
          <w:b/>
          <w:color w:val="17365D" w:themeColor="text2" w:themeShade="BF"/>
          <w:sz w:val="28"/>
          <w:szCs w:val="28"/>
        </w:rPr>
        <w:t>Apologies</w:t>
      </w:r>
    </w:p>
    <w:p w:rsidR="00F6273F" w:rsidRPr="00FC4C5F" w:rsidRDefault="00672B3F" w:rsidP="00F6273F">
      <w:pPr>
        <w:spacing w:after="120" w:line="276" w:lineRule="auto"/>
        <w:rPr>
          <w:sz w:val="20"/>
        </w:rPr>
      </w:pPr>
      <w:r w:rsidRPr="008715AB">
        <w:rPr>
          <w:sz w:val="20"/>
        </w:rPr>
        <w:t xml:space="preserve">Donna Tracey (Waikato DC), Vishal Ramduny (Waikato DC), </w:t>
      </w:r>
      <w:r w:rsidR="000109DB" w:rsidRPr="008715AB">
        <w:rPr>
          <w:sz w:val="20"/>
        </w:rPr>
        <w:t xml:space="preserve">Gary Knighton (Waipa DC), </w:t>
      </w:r>
      <w:r w:rsidRPr="008715AB">
        <w:rPr>
          <w:sz w:val="20"/>
        </w:rPr>
        <w:t xml:space="preserve">Nick Carroll (TDC), Hadley Tattle (TDC), Sue Mavor (Taupo DC), </w:t>
      </w:r>
      <w:r w:rsidR="007142FB" w:rsidRPr="008715AB">
        <w:rPr>
          <w:sz w:val="20"/>
        </w:rPr>
        <w:t xml:space="preserve">Michelle Staines-Hawthorne (MPDC), </w:t>
      </w:r>
      <w:r w:rsidR="00F6273F" w:rsidRPr="008715AB">
        <w:rPr>
          <w:sz w:val="20"/>
        </w:rPr>
        <w:t xml:space="preserve">Charan Mischewski (HDC), </w:t>
      </w:r>
      <w:r w:rsidR="000109DB" w:rsidRPr="008715AB">
        <w:rPr>
          <w:sz w:val="20"/>
        </w:rPr>
        <w:t xml:space="preserve">Niall Baker ((MPDC), </w:t>
      </w:r>
      <w:r w:rsidR="00F6273F" w:rsidRPr="008715AB">
        <w:rPr>
          <w:sz w:val="20"/>
        </w:rPr>
        <w:t xml:space="preserve">Jenni Vernon (Waikato DC), Greg Morton (WRC), </w:t>
      </w:r>
      <w:r w:rsidR="008715AB" w:rsidRPr="008715AB">
        <w:rPr>
          <w:sz w:val="20"/>
        </w:rPr>
        <w:t xml:space="preserve">Joanne Gread (Waitomo DC), </w:t>
      </w:r>
      <w:r w:rsidR="000109DB" w:rsidRPr="008715AB">
        <w:rPr>
          <w:sz w:val="20"/>
        </w:rPr>
        <w:t>Cathy O’Callaghan (Waitomo DC</w:t>
      </w:r>
      <w:r w:rsidR="007142FB" w:rsidRPr="008715AB">
        <w:rPr>
          <w:sz w:val="20"/>
        </w:rPr>
        <w:t xml:space="preserve">), </w:t>
      </w:r>
      <w:r w:rsidR="008715AB" w:rsidRPr="008715AB">
        <w:rPr>
          <w:sz w:val="20"/>
        </w:rPr>
        <w:t xml:space="preserve">Alan Moss (SWDC), </w:t>
      </w:r>
      <w:r w:rsidR="00F6273F" w:rsidRPr="008715AB">
        <w:rPr>
          <w:sz w:val="20"/>
        </w:rPr>
        <w:t xml:space="preserve">Susan Henderson (HCC), Michelle White (HCC/FP), </w:t>
      </w:r>
      <w:r w:rsidR="005241C1">
        <w:rPr>
          <w:sz w:val="20"/>
        </w:rPr>
        <w:t xml:space="preserve">Hanna Berndt (WDHB), </w:t>
      </w:r>
      <w:r w:rsidR="000109DB" w:rsidRPr="008715AB">
        <w:rPr>
          <w:sz w:val="20"/>
        </w:rPr>
        <w:t>James Bevan</w:t>
      </w:r>
      <w:r w:rsidR="00F6273F" w:rsidRPr="008715AB">
        <w:rPr>
          <w:sz w:val="20"/>
        </w:rPr>
        <w:t xml:space="preserve"> (NZTA)</w:t>
      </w:r>
      <w:r w:rsidR="008715AB" w:rsidRPr="008715AB">
        <w:rPr>
          <w:sz w:val="20"/>
        </w:rPr>
        <w:t>, Ken Tremaine</w:t>
      </w:r>
      <w:r w:rsidR="008715AB">
        <w:rPr>
          <w:sz w:val="20"/>
        </w:rPr>
        <w:t xml:space="preserve"> (FP/Waikato Plan)</w:t>
      </w:r>
      <w:r w:rsidR="008715AB" w:rsidRPr="008715AB">
        <w:rPr>
          <w:sz w:val="20"/>
        </w:rPr>
        <w:t>, Garry McDonald (Market Economics)</w:t>
      </w:r>
      <w:r w:rsidR="00F6273F" w:rsidRPr="008715AB">
        <w:rPr>
          <w:sz w:val="20"/>
        </w:rPr>
        <w:t>.</w:t>
      </w:r>
      <w:r w:rsidR="00F6273F" w:rsidRPr="00FC4C5F">
        <w:rPr>
          <w:sz w:val="20"/>
        </w:rPr>
        <w:t xml:space="preserve"> </w:t>
      </w:r>
    </w:p>
    <w:p w:rsidR="00375CB0" w:rsidRDefault="00375CB0" w:rsidP="0034633C">
      <w:pPr>
        <w:widowControl w:val="0"/>
        <w:tabs>
          <w:tab w:val="left" w:pos="220"/>
          <w:tab w:val="left" w:pos="720"/>
        </w:tabs>
        <w:autoSpaceDE w:val="0"/>
        <w:autoSpaceDN w:val="0"/>
        <w:adjustRightInd w:val="0"/>
        <w:spacing w:line="276" w:lineRule="auto"/>
        <w:jc w:val="left"/>
        <w:rPr>
          <w:rFonts w:eastAsia="Times New Roman" w:cs="Helvetica"/>
          <w:szCs w:val="22"/>
        </w:rPr>
      </w:pPr>
    </w:p>
    <w:p w:rsidR="00F266ED" w:rsidRDefault="00F266ED" w:rsidP="00F266ED">
      <w:r>
        <w:rPr>
          <w:b/>
          <w:color w:val="17365D" w:themeColor="text2" w:themeShade="BF"/>
          <w:sz w:val="28"/>
          <w:szCs w:val="28"/>
        </w:rPr>
        <w:t xml:space="preserve">Background </w:t>
      </w:r>
    </w:p>
    <w:p w:rsidR="00F266ED" w:rsidRDefault="00F266ED" w:rsidP="0034633C">
      <w:pPr>
        <w:widowControl w:val="0"/>
        <w:tabs>
          <w:tab w:val="left" w:pos="220"/>
          <w:tab w:val="left" w:pos="720"/>
        </w:tabs>
        <w:autoSpaceDE w:val="0"/>
        <w:autoSpaceDN w:val="0"/>
        <w:adjustRightInd w:val="0"/>
        <w:spacing w:line="276" w:lineRule="auto"/>
        <w:jc w:val="left"/>
        <w:rPr>
          <w:rFonts w:eastAsia="Times New Roman" w:cs="Helvetica"/>
          <w:szCs w:val="22"/>
        </w:rPr>
      </w:pPr>
      <w:r>
        <w:rPr>
          <w:rFonts w:eastAsia="Times New Roman" w:cs="Helvetica"/>
          <w:szCs w:val="22"/>
        </w:rPr>
        <w:t xml:space="preserve">The following documents were circulated prior to meeting </w:t>
      </w:r>
      <w:r w:rsidRPr="003B44C8">
        <w:rPr>
          <w:rFonts w:eastAsia="Times New Roman" w:cs="Helvetica"/>
          <w:szCs w:val="22"/>
          <w:u w:val="single"/>
        </w:rPr>
        <w:t>(available from shared site, see at end</w:t>
      </w:r>
      <w:r>
        <w:rPr>
          <w:rFonts w:eastAsia="Times New Roman" w:cs="Helvetica"/>
          <w:szCs w:val="22"/>
        </w:rPr>
        <w:t xml:space="preserve">): </w:t>
      </w:r>
    </w:p>
    <w:p w:rsidR="00F266ED" w:rsidRDefault="00BC23D1" w:rsidP="00E05748">
      <w:pPr>
        <w:pStyle w:val="ListParagraph"/>
        <w:numPr>
          <w:ilvl w:val="0"/>
          <w:numId w:val="2"/>
        </w:numPr>
        <w:contextualSpacing w:val="0"/>
        <w:jc w:val="left"/>
        <w:rPr>
          <w:rFonts w:ascii="Calibri" w:eastAsia="Times New Roman" w:hAnsi="Calibri"/>
          <w:lang w:val="en-NZ"/>
        </w:rPr>
      </w:pPr>
      <w:r>
        <w:t>Minute from previous meeting  (10</w:t>
      </w:r>
      <w:r w:rsidRPr="00BC23D1">
        <w:rPr>
          <w:vertAlign w:val="superscript"/>
        </w:rPr>
        <w:t>th</w:t>
      </w:r>
      <w:r>
        <w:t xml:space="preserve"> December 2016</w:t>
      </w:r>
      <w:r w:rsidR="00F266ED">
        <w:t>)</w:t>
      </w:r>
    </w:p>
    <w:p w:rsidR="00F266ED" w:rsidRDefault="00BC23D1" w:rsidP="00E05748">
      <w:pPr>
        <w:pStyle w:val="ListParagraph"/>
        <w:numPr>
          <w:ilvl w:val="0"/>
          <w:numId w:val="2"/>
        </w:numPr>
        <w:contextualSpacing w:val="0"/>
        <w:jc w:val="left"/>
      </w:pPr>
      <w:r>
        <w:t>Timeline for projections process to support 2021 LTP process</w:t>
      </w:r>
    </w:p>
    <w:p w:rsidR="00F266ED" w:rsidRPr="003B44C8" w:rsidRDefault="00F266ED" w:rsidP="0034633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3B44C8" w:rsidRDefault="003B44C8" w:rsidP="00EB5AD1">
      <w:pPr>
        <w:rPr>
          <w:b/>
          <w:sz w:val="24"/>
          <w:szCs w:val="24"/>
        </w:rPr>
      </w:pPr>
    </w:p>
    <w:p w:rsidR="00354174" w:rsidRPr="00BB2041" w:rsidRDefault="00354174" w:rsidP="00EB5AD1">
      <w:pPr>
        <w:rPr>
          <w:b/>
          <w:color w:val="1F497D" w:themeColor="text2"/>
          <w:sz w:val="28"/>
          <w:szCs w:val="24"/>
        </w:rPr>
      </w:pPr>
      <w:r w:rsidRPr="00BB2041">
        <w:rPr>
          <w:b/>
          <w:color w:val="1F497D" w:themeColor="text2"/>
          <w:sz w:val="28"/>
          <w:szCs w:val="24"/>
        </w:rPr>
        <w:t xml:space="preserve">Feedback on Action points from </w:t>
      </w:r>
      <w:r w:rsidR="001A2D34" w:rsidRPr="00BB2041">
        <w:rPr>
          <w:b/>
          <w:color w:val="1F497D" w:themeColor="text2"/>
          <w:sz w:val="28"/>
          <w:szCs w:val="24"/>
        </w:rPr>
        <w:t>previous</w:t>
      </w:r>
      <w:r w:rsidRPr="00BB2041">
        <w:rPr>
          <w:b/>
          <w:color w:val="1F497D" w:themeColor="text2"/>
          <w:sz w:val="28"/>
          <w:szCs w:val="24"/>
        </w:rPr>
        <w:t xml:space="preserve"> meeting</w:t>
      </w:r>
    </w:p>
    <w:p w:rsidR="00354174" w:rsidRDefault="00354174" w:rsidP="00EB5AD1">
      <w:pPr>
        <w:rPr>
          <w:b/>
          <w:sz w:val="24"/>
          <w:szCs w:val="24"/>
        </w:rPr>
      </w:pPr>
    </w:p>
    <w:p w:rsidR="001A2D34" w:rsidRPr="001A2D34" w:rsidRDefault="001A2D34" w:rsidP="001A2D34">
      <w:pPr>
        <w:rPr>
          <w:b/>
          <w:sz w:val="24"/>
          <w:szCs w:val="24"/>
        </w:rPr>
      </w:pPr>
      <w:r w:rsidRPr="001A2D34">
        <w:rPr>
          <w:b/>
          <w:sz w:val="24"/>
          <w:szCs w:val="24"/>
        </w:rPr>
        <w:t xml:space="preserve">Comparison NIDEA and latest </w:t>
      </w:r>
      <w:hyperlink r:id="rId11" w:history="1">
        <w:r w:rsidRPr="001A2D34">
          <w:rPr>
            <w:rStyle w:val="Hyperlink"/>
            <w:b/>
            <w:sz w:val="24"/>
            <w:szCs w:val="24"/>
          </w:rPr>
          <w:t>SNZ TA Projections</w:t>
        </w:r>
      </w:hyperlink>
      <w:r w:rsidRPr="001A2D34">
        <w:rPr>
          <w:b/>
          <w:sz w:val="24"/>
          <w:szCs w:val="24"/>
        </w:rPr>
        <w:t xml:space="preserve"> </w:t>
      </w:r>
    </w:p>
    <w:p w:rsidR="001A2D34" w:rsidRPr="00A95003" w:rsidRDefault="001A2D34" w:rsidP="001A2D34">
      <w:pPr>
        <w:rPr>
          <w:b/>
          <w:i/>
          <w:sz w:val="12"/>
          <w:szCs w:val="12"/>
          <w:u w:val="single"/>
        </w:rPr>
      </w:pPr>
    </w:p>
    <w:p w:rsidR="001A2D34" w:rsidRDefault="001A2D34" w:rsidP="001A2D34">
      <w:pPr>
        <w:rPr>
          <w:i/>
        </w:rPr>
      </w:pPr>
      <w:r w:rsidRPr="00383BF1">
        <w:rPr>
          <w:b/>
          <w:i/>
          <w:u w:val="single"/>
        </w:rPr>
        <w:t>Action</w:t>
      </w:r>
      <w:r w:rsidRPr="00383BF1">
        <w:rPr>
          <w:b/>
          <w:i/>
        </w:rPr>
        <w:t>:</w:t>
      </w:r>
      <w:r w:rsidRPr="00383BF1">
        <w:rPr>
          <w:i/>
        </w:rPr>
        <w:t xml:space="preserve"> Beat/Tony to work with Michael (NIDEA) to develop and circulate a max 2-pager to include some pertinent key facts and messages to assist consistent communication with Councillors and Executive staff.</w:t>
      </w:r>
      <w:r>
        <w:rPr>
          <w:i/>
        </w:rPr>
        <w:t xml:space="preserve"> </w:t>
      </w:r>
    </w:p>
    <w:p w:rsidR="001F2F26" w:rsidRPr="00A95003" w:rsidRDefault="001F2F26" w:rsidP="001A2D34">
      <w:pPr>
        <w:rPr>
          <w:i/>
        </w:rPr>
      </w:pPr>
    </w:p>
    <w:p w:rsidR="00354174" w:rsidRPr="001F2F26" w:rsidRDefault="001A2D34" w:rsidP="00EB5AD1">
      <w:pPr>
        <w:rPr>
          <w:szCs w:val="22"/>
        </w:rPr>
      </w:pPr>
      <w:r w:rsidRPr="001F2F26">
        <w:rPr>
          <w:szCs w:val="22"/>
        </w:rPr>
        <w:t xml:space="preserve">Michael Cameron has provided a </w:t>
      </w:r>
      <w:r w:rsidR="00937E31" w:rsidRPr="001F2F26">
        <w:rPr>
          <w:szCs w:val="22"/>
        </w:rPr>
        <w:t xml:space="preserve">draft </w:t>
      </w:r>
      <w:r w:rsidRPr="001F2F26">
        <w:rPr>
          <w:szCs w:val="22"/>
        </w:rPr>
        <w:t xml:space="preserve">two pager summary for councils. This will be sent out to all councils with these minutes. </w:t>
      </w:r>
      <w:r w:rsidR="00937E31" w:rsidRPr="001F2F26">
        <w:rPr>
          <w:szCs w:val="22"/>
        </w:rPr>
        <w:t>Any feedback/questions are welcome and will be used to create a final version of this summary.</w:t>
      </w:r>
    </w:p>
    <w:p w:rsidR="00354174" w:rsidRPr="001808A7" w:rsidRDefault="005241C1" w:rsidP="00EB5AD1">
      <w:pPr>
        <w:rPr>
          <w:b/>
          <w:szCs w:val="22"/>
        </w:rPr>
      </w:pPr>
      <w:r w:rsidRPr="001808A7">
        <w:rPr>
          <w:b/>
          <w:szCs w:val="22"/>
          <w:highlight w:val="yellow"/>
          <w:u w:val="single"/>
        </w:rPr>
        <w:t>New Action</w:t>
      </w:r>
      <w:r w:rsidRPr="001808A7">
        <w:rPr>
          <w:b/>
          <w:szCs w:val="22"/>
          <w:highlight w:val="yellow"/>
        </w:rPr>
        <w:t xml:space="preserve">:  </w:t>
      </w:r>
      <w:r w:rsidRPr="001808A7">
        <w:rPr>
          <w:szCs w:val="22"/>
          <w:highlight w:val="yellow"/>
        </w:rPr>
        <w:t xml:space="preserve">Feedback on draft to Beat </w:t>
      </w:r>
      <w:r w:rsidRPr="001808A7">
        <w:rPr>
          <w:szCs w:val="22"/>
          <w:highlight w:val="yellow"/>
          <w:u w:val="single"/>
        </w:rPr>
        <w:t>by 20 April</w:t>
      </w:r>
      <w:r w:rsidRPr="001808A7">
        <w:rPr>
          <w:szCs w:val="22"/>
          <w:highlight w:val="yellow"/>
        </w:rPr>
        <w:t>.</w:t>
      </w:r>
    </w:p>
    <w:p w:rsidR="00354174" w:rsidRDefault="00354174" w:rsidP="00EB5AD1">
      <w:pPr>
        <w:rPr>
          <w:b/>
          <w:sz w:val="24"/>
          <w:szCs w:val="24"/>
        </w:rPr>
      </w:pPr>
    </w:p>
    <w:p w:rsidR="00BB2041" w:rsidRPr="005241C1" w:rsidRDefault="00BB2041" w:rsidP="00170FF6">
      <w:pPr>
        <w:rPr>
          <w:b/>
          <w:sz w:val="24"/>
          <w:szCs w:val="24"/>
        </w:rPr>
      </w:pPr>
      <w:r w:rsidRPr="005241C1">
        <w:rPr>
          <w:b/>
          <w:sz w:val="24"/>
          <w:szCs w:val="24"/>
        </w:rPr>
        <w:t>Absentee ratepayers</w:t>
      </w:r>
    </w:p>
    <w:p w:rsidR="00BB2041" w:rsidRPr="007D7401" w:rsidRDefault="00BB2041" w:rsidP="00BB2041">
      <w:pPr>
        <w:pStyle w:val="ListParagraph"/>
        <w:ind w:left="709"/>
        <w:jc w:val="left"/>
        <w:rPr>
          <w:sz w:val="12"/>
          <w:szCs w:val="12"/>
        </w:rPr>
      </w:pPr>
    </w:p>
    <w:p w:rsidR="00BB2041" w:rsidRPr="00646579" w:rsidRDefault="00BB2041" w:rsidP="00BB2041">
      <w:pPr>
        <w:rPr>
          <w:i/>
        </w:rPr>
      </w:pPr>
      <w:r w:rsidRPr="00383BF1">
        <w:rPr>
          <w:b/>
          <w:i/>
          <w:u w:val="single"/>
        </w:rPr>
        <w:t>Action</w:t>
      </w:r>
      <w:r w:rsidRPr="00383BF1">
        <w:rPr>
          <w:b/>
          <w:i/>
        </w:rPr>
        <w:t>:</w:t>
      </w:r>
      <w:r w:rsidRPr="00383BF1">
        <w:rPr>
          <w:i/>
        </w:rPr>
        <w:t xml:space="preserve"> Tony to contact Sharon Fitzpatrick (Senior Data Management Analyst, WRC).</w:t>
      </w:r>
      <w:r w:rsidRPr="00646579">
        <w:rPr>
          <w:i/>
        </w:rPr>
        <w:t xml:space="preserve"> </w:t>
      </w:r>
    </w:p>
    <w:p w:rsidR="00BB2041" w:rsidRDefault="00BB2041" w:rsidP="00BB2041"/>
    <w:p w:rsidR="00170FF6" w:rsidRPr="004156D5" w:rsidRDefault="00170FF6" w:rsidP="00170FF6">
      <w:pPr>
        <w:rPr>
          <w:i/>
        </w:rPr>
      </w:pPr>
      <w:r>
        <w:rPr>
          <w:i/>
        </w:rPr>
        <w:t>Further</w:t>
      </w:r>
      <w:r w:rsidRPr="004156D5">
        <w:rPr>
          <w:i/>
        </w:rPr>
        <w:t xml:space="preserve"> Comments:</w:t>
      </w:r>
    </w:p>
    <w:p w:rsidR="00170FF6" w:rsidRPr="00A41E2A" w:rsidRDefault="00170FF6" w:rsidP="005241C1">
      <w:pPr>
        <w:pStyle w:val="ListParagraph"/>
        <w:numPr>
          <w:ilvl w:val="0"/>
          <w:numId w:val="9"/>
        </w:numPr>
        <w:ind w:left="714" w:hanging="357"/>
        <w:jc w:val="left"/>
        <w:rPr>
          <w:b/>
          <w:i/>
          <w:u w:val="single"/>
        </w:rPr>
      </w:pPr>
      <w:r>
        <w:t>Not easy to assess robustly due to range of living/use arrangements – what is specific need for understanding absentee rate payers for TA’s?</w:t>
      </w:r>
    </w:p>
    <w:p w:rsidR="00170FF6" w:rsidRPr="004156D5" w:rsidRDefault="00170FF6" w:rsidP="00E05748">
      <w:pPr>
        <w:pStyle w:val="ListParagraph"/>
        <w:numPr>
          <w:ilvl w:val="0"/>
          <w:numId w:val="9"/>
        </w:numPr>
        <w:spacing w:before="200" w:after="200" w:line="276" w:lineRule="auto"/>
        <w:jc w:val="left"/>
        <w:rPr>
          <w:b/>
          <w:i/>
          <w:u w:val="single"/>
        </w:rPr>
      </w:pPr>
      <w:r>
        <w:t>Do TA’s want to estimate them now or be able to project them into future?</w:t>
      </w:r>
    </w:p>
    <w:p w:rsidR="00170FF6" w:rsidRPr="004156D5" w:rsidRDefault="00170FF6" w:rsidP="001808A7">
      <w:pPr>
        <w:pStyle w:val="ListParagraph"/>
        <w:numPr>
          <w:ilvl w:val="0"/>
          <w:numId w:val="9"/>
        </w:numPr>
        <w:spacing w:before="200" w:after="120" w:line="276" w:lineRule="auto"/>
        <w:ind w:left="714" w:hanging="357"/>
        <w:jc w:val="left"/>
        <w:rPr>
          <w:b/>
          <w:i/>
          <w:u w:val="single"/>
        </w:rPr>
      </w:pPr>
      <w:r>
        <w:lastRenderedPageBreak/>
        <w:t>If projecting into future there is risk in using simplified assumptions – “estimate households and dwellings then by inference Dwellings – Households = vacant dwellings (i.e. ‘absentee ratepayers’)” – if vacant dwellings are based on census night then is it reasonable to assume they stay the same? – If not what drives how they could vary and how to model this. Would this be robust?</w:t>
      </w:r>
    </w:p>
    <w:p w:rsidR="00170FF6" w:rsidRPr="00CB3494" w:rsidRDefault="00170FF6" w:rsidP="00170FF6">
      <w:r>
        <w:t>This is on</w:t>
      </w:r>
      <w:r w:rsidR="005241C1">
        <w:t xml:space="preserve">ly an issue for one or two TA’s (e.g. TCDC), and it is </w:t>
      </w:r>
      <w:r>
        <w:t>recommended to</w:t>
      </w:r>
      <w:r w:rsidRPr="00CB3494">
        <w:t xml:space="preserve"> take </w:t>
      </w:r>
      <w:r>
        <w:t xml:space="preserve">this issue </w:t>
      </w:r>
      <w:r w:rsidR="005241C1">
        <w:t xml:space="preserve">out of the overall projection working group scope. </w:t>
      </w:r>
      <w:r w:rsidRPr="00CB3494">
        <w:t xml:space="preserve"> </w:t>
      </w:r>
    </w:p>
    <w:p w:rsidR="00170FF6" w:rsidRDefault="00170FF6" w:rsidP="00BB2041"/>
    <w:p w:rsidR="00BB2041" w:rsidRPr="005241C1" w:rsidRDefault="00BB2041" w:rsidP="00170FF6">
      <w:pPr>
        <w:rPr>
          <w:b/>
          <w:sz w:val="24"/>
          <w:szCs w:val="24"/>
        </w:rPr>
      </w:pPr>
      <w:r w:rsidRPr="005241C1">
        <w:rPr>
          <w:b/>
          <w:sz w:val="24"/>
          <w:szCs w:val="24"/>
        </w:rPr>
        <w:t>Rating unit</w:t>
      </w:r>
    </w:p>
    <w:p w:rsidR="00BB2041" w:rsidRPr="007D7401" w:rsidRDefault="00BB2041" w:rsidP="00BB2041">
      <w:pPr>
        <w:rPr>
          <w:i/>
          <w:sz w:val="12"/>
          <w:szCs w:val="12"/>
        </w:rPr>
      </w:pPr>
    </w:p>
    <w:p w:rsidR="00BB2041" w:rsidRPr="00CA11FF" w:rsidRDefault="00BB2041" w:rsidP="00BB2041">
      <w:pPr>
        <w:rPr>
          <w:i/>
        </w:rPr>
      </w:pPr>
      <w:r w:rsidRPr="00383BF1">
        <w:rPr>
          <w:b/>
          <w:i/>
          <w:u w:val="single"/>
        </w:rPr>
        <w:t>Action</w:t>
      </w:r>
      <w:r w:rsidRPr="00383BF1">
        <w:rPr>
          <w:b/>
          <w:i/>
        </w:rPr>
        <w:t>:</w:t>
      </w:r>
      <w:r w:rsidRPr="00383BF1">
        <w:rPr>
          <w:i/>
        </w:rPr>
        <w:t xml:space="preserve"> Tony</w:t>
      </w:r>
      <w:r w:rsidR="005241C1">
        <w:rPr>
          <w:i/>
        </w:rPr>
        <w:t>/Derek</w:t>
      </w:r>
      <w:r w:rsidRPr="00383BF1">
        <w:rPr>
          <w:i/>
        </w:rPr>
        <w:t xml:space="preserve"> to contact Sharon F (WRC).</w:t>
      </w:r>
      <w:r w:rsidRPr="00CA11FF">
        <w:rPr>
          <w:i/>
        </w:rPr>
        <w:t xml:space="preserve"> </w:t>
      </w:r>
    </w:p>
    <w:p w:rsidR="00354174" w:rsidRPr="001F2F26" w:rsidRDefault="00354174" w:rsidP="00EB5AD1">
      <w:pPr>
        <w:rPr>
          <w:b/>
          <w:sz w:val="16"/>
          <w:szCs w:val="16"/>
        </w:rPr>
      </w:pPr>
    </w:p>
    <w:p w:rsidR="00170FF6" w:rsidRDefault="00170FF6" w:rsidP="00170FF6">
      <w:pPr>
        <w:rPr>
          <w:i/>
        </w:rPr>
      </w:pPr>
      <w:r>
        <w:rPr>
          <w:i/>
        </w:rPr>
        <w:t>Further Comments:</w:t>
      </w:r>
    </w:p>
    <w:p w:rsidR="00170FF6" w:rsidRDefault="00170FF6" w:rsidP="005241C1">
      <w:pPr>
        <w:pStyle w:val="ListParagraph"/>
        <w:numPr>
          <w:ilvl w:val="0"/>
          <w:numId w:val="10"/>
        </w:numPr>
        <w:ind w:left="714" w:hanging="357"/>
        <w:jc w:val="left"/>
      </w:pPr>
      <w:r w:rsidRPr="004156D5">
        <w:t>Apart from dwellings</w:t>
      </w:r>
      <w:r w:rsidR="005241C1">
        <w:t xml:space="preserve"> (occupied and unoccupied</w:t>
      </w:r>
      <w:r>
        <w:t xml:space="preserve">) modelling any calculation of rating units needs to consider </w:t>
      </w:r>
      <w:r w:rsidR="0041408D">
        <w:t>any</w:t>
      </w:r>
      <w:r>
        <w:t xml:space="preserve"> vacant land – empty residential sections/industrial </w:t>
      </w:r>
      <w:r w:rsidR="005241C1">
        <w:t>estates under development.  A</w:t>
      </w:r>
      <w:r>
        <w:t>ny dwellings estimates are probably not good indication of total rating units</w:t>
      </w:r>
    </w:p>
    <w:p w:rsidR="00170FF6" w:rsidRDefault="00170FF6" w:rsidP="00E05748">
      <w:pPr>
        <w:pStyle w:val="ListParagraph"/>
        <w:numPr>
          <w:ilvl w:val="0"/>
          <w:numId w:val="10"/>
        </w:numPr>
        <w:spacing w:before="200" w:after="200" w:line="276" w:lineRule="auto"/>
        <w:jc w:val="left"/>
      </w:pPr>
      <w:r>
        <w:t>If the assumption that ‘the ratio of commercial/industrial rating units to dwellings stays constant’ is used in any projections this may not hold over time for vacant land component</w:t>
      </w:r>
      <w:r w:rsidR="0041408D">
        <w:t xml:space="preserve">, as it is </w:t>
      </w:r>
      <w:r w:rsidR="00F75E68">
        <w:t>released</w:t>
      </w:r>
      <w:r w:rsidR="0041408D">
        <w:t xml:space="preserve"> in </w:t>
      </w:r>
      <w:r w:rsidR="00F75E68">
        <w:t>big areas for development of vacant lots.</w:t>
      </w:r>
    </w:p>
    <w:p w:rsidR="00170FF6" w:rsidRDefault="00170FF6" w:rsidP="00E05748">
      <w:pPr>
        <w:pStyle w:val="ListParagraph"/>
        <w:numPr>
          <w:ilvl w:val="0"/>
          <w:numId w:val="10"/>
        </w:numPr>
        <w:spacing w:before="200" w:after="200" w:line="276" w:lineRule="auto"/>
        <w:jc w:val="left"/>
      </w:pPr>
      <w:r>
        <w:t>The work being undertaken for Future Proof on Business floor area demand /supply and residential supply might be useful for this modelling.</w:t>
      </w:r>
    </w:p>
    <w:p w:rsidR="00F75E68" w:rsidRDefault="00F75E68" w:rsidP="00E05748">
      <w:pPr>
        <w:pStyle w:val="ListParagraph"/>
        <w:numPr>
          <w:ilvl w:val="0"/>
          <w:numId w:val="10"/>
        </w:numPr>
        <w:spacing w:before="200" w:after="200" w:line="276" w:lineRule="auto"/>
        <w:jc w:val="left"/>
      </w:pPr>
      <w:r>
        <w:t>Would be interesting to identify the range of assumptions that TA’s are using currently to estimate ‘rating units’ for current LTP.</w:t>
      </w:r>
    </w:p>
    <w:p w:rsidR="00354174" w:rsidRPr="005241C1" w:rsidRDefault="00170FF6" w:rsidP="00EB5AD1">
      <w:pPr>
        <w:pStyle w:val="ListParagraph"/>
        <w:numPr>
          <w:ilvl w:val="0"/>
          <w:numId w:val="10"/>
        </w:numPr>
        <w:spacing w:before="200" w:after="200" w:line="276" w:lineRule="auto"/>
        <w:jc w:val="left"/>
      </w:pPr>
      <w:r>
        <w:t>(see notes/discussion that occurs with Data needs ‘Matrix table’ below)</w:t>
      </w:r>
    </w:p>
    <w:p w:rsidR="00354174" w:rsidRDefault="00170FF6" w:rsidP="00EB5AD1">
      <w:pPr>
        <w:rPr>
          <w:b/>
          <w:sz w:val="24"/>
          <w:szCs w:val="24"/>
        </w:rPr>
      </w:pPr>
      <w:r>
        <w:rPr>
          <w:b/>
          <w:sz w:val="24"/>
          <w:szCs w:val="24"/>
        </w:rPr>
        <w:t xml:space="preserve">Other Actions </w:t>
      </w:r>
      <w:r w:rsidR="005241C1">
        <w:rPr>
          <w:b/>
          <w:sz w:val="24"/>
          <w:szCs w:val="24"/>
        </w:rPr>
        <w:t xml:space="preserve">from the last meeting </w:t>
      </w:r>
      <w:r>
        <w:rPr>
          <w:b/>
          <w:sz w:val="24"/>
          <w:szCs w:val="24"/>
        </w:rPr>
        <w:t xml:space="preserve">relating to Households/dwellings and other spatial processing are covered in next section as they were discussed at this meeting in detail. </w:t>
      </w:r>
    </w:p>
    <w:p w:rsidR="00354174" w:rsidRPr="001F2F26" w:rsidRDefault="00354174" w:rsidP="00EB5AD1">
      <w:pPr>
        <w:rPr>
          <w:b/>
          <w:sz w:val="16"/>
          <w:szCs w:val="16"/>
        </w:rPr>
      </w:pPr>
    </w:p>
    <w:p w:rsidR="003B44C8" w:rsidRDefault="003B44C8" w:rsidP="00EB5AD1">
      <w:pPr>
        <w:jc w:val="left"/>
        <w:rPr>
          <w:b/>
          <w:sz w:val="24"/>
          <w:szCs w:val="24"/>
        </w:rPr>
      </w:pPr>
    </w:p>
    <w:p w:rsidR="00F266ED" w:rsidRDefault="001F2F26" w:rsidP="00EB5AD1">
      <w:pPr>
        <w:jc w:val="left"/>
        <w:rPr>
          <w:b/>
          <w:color w:val="1F497D" w:themeColor="text2"/>
          <w:sz w:val="28"/>
          <w:szCs w:val="24"/>
        </w:rPr>
      </w:pPr>
      <w:r>
        <w:rPr>
          <w:b/>
          <w:color w:val="1F497D" w:themeColor="text2"/>
          <w:sz w:val="28"/>
          <w:szCs w:val="24"/>
        </w:rPr>
        <w:t>Agenda items</w:t>
      </w:r>
    </w:p>
    <w:p w:rsidR="001808A7" w:rsidRPr="00BB2041" w:rsidRDefault="001808A7" w:rsidP="00EB5AD1">
      <w:pPr>
        <w:jc w:val="left"/>
        <w:rPr>
          <w:b/>
          <w:color w:val="1F497D" w:themeColor="text2"/>
          <w:sz w:val="28"/>
          <w:szCs w:val="24"/>
        </w:rPr>
      </w:pPr>
    </w:p>
    <w:p w:rsidR="0070319D" w:rsidRPr="001808A7" w:rsidRDefault="00170FF6" w:rsidP="001F2F26">
      <w:pPr>
        <w:pStyle w:val="Heading1"/>
      </w:pPr>
      <w:r w:rsidRPr="0070319D">
        <w:t xml:space="preserve">Timeline of 2018 Census and follow on projection work </w:t>
      </w:r>
      <w:r w:rsidR="0070319D" w:rsidRPr="001F2F26">
        <w:rPr>
          <w:sz w:val="12"/>
          <w:szCs w:val="12"/>
        </w:rPr>
        <w:tab/>
      </w:r>
    </w:p>
    <w:p w:rsidR="0070319D" w:rsidRPr="001F2F26" w:rsidRDefault="0070319D" w:rsidP="00170FF6">
      <w:pPr>
        <w:rPr>
          <w:sz w:val="16"/>
          <w:szCs w:val="16"/>
        </w:rPr>
      </w:pPr>
    </w:p>
    <w:p w:rsidR="00170FF6" w:rsidRDefault="00E57347" w:rsidP="00170FF6">
      <w:r>
        <w:t>A time</w:t>
      </w:r>
      <w:r w:rsidR="006A7886">
        <w:t>line was prepared to show what steps are required to undertake updates to modelling processes (WISE, new population model, new economic model, households) and when input data might be available from 2018 census.</w:t>
      </w:r>
    </w:p>
    <w:p w:rsidR="00170FF6" w:rsidRDefault="00170FF6" w:rsidP="00170FF6"/>
    <w:p w:rsidR="006A7886" w:rsidRDefault="001923A1" w:rsidP="00170FF6">
      <w:r>
        <w:t xml:space="preserve">The key question for this process is: </w:t>
      </w:r>
    </w:p>
    <w:p w:rsidR="006A7886" w:rsidRPr="001F2F26" w:rsidRDefault="006A7886" w:rsidP="00170FF6">
      <w:pPr>
        <w:rPr>
          <w:sz w:val="12"/>
          <w:szCs w:val="12"/>
        </w:rPr>
      </w:pPr>
    </w:p>
    <w:p w:rsidR="00170FF6" w:rsidRDefault="00170FF6" w:rsidP="00170FF6">
      <w:r>
        <w:t xml:space="preserve">To have projections data (based on 2018 census results) ready for informing the development of your 2021 LTPs (and other needs) </w:t>
      </w:r>
      <w:r w:rsidR="00383BF1">
        <w:t xml:space="preserve"> </w:t>
      </w:r>
      <w:r w:rsidRPr="001F2F26">
        <w:rPr>
          <w:b/>
          <w:bCs/>
          <w:sz w:val="24"/>
          <w:szCs w:val="24"/>
        </w:rPr>
        <w:t>what are the critical timeframes for your processes?</w:t>
      </w:r>
    </w:p>
    <w:p w:rsidR="001923A1" w:rsidRPr="001F2F26" w:rsidRDefault="001923A1" w:rsidP="00170FF6">
      <w:pPr>
        <w:rPr>
          <w:sz w:val="16"/>
          <w:szCs w:val="16"/>
        </w:rPr>
      </w:pPr>
    </w:p>
    <w:p w:rsidR="00104AAA" w:rsidRDefault="00104AAA" w:rsidP="00F266ED">
      <w:r>
        <w:t>Discussion:</w:t>
      </w:r>
    </w:p>
    <w:p w:rsidR="00BB2041" w:rsidRDefault="00383BF1" w:rsidP="00104AAA">
      <w:pPr>
        <w:pStyle w:val="ListParagraph"/>
        <w:numPr>
          <w:ilvl w:val="0"/>
          <w:numId w:val="13"/>
        </w:numPr>
      </w:pPr>
      <w:r>
        <w:t xml:space="preserve">The consensus was that the projections data would be required </w:t>
      </w:r>
      <w:r w:rsidRPr="001F2F26">
        <w:rPr>
          <w:b/>
          <w:u w:val="single"/>
        </w:rPr>
        <w:t>by February 2020</w:t>
      </w:r>
      <w:r>
        <w:t xml:space="preserve">. </w:t>
      </w:r>
    </w:p>
    <w:p w:rsidR="00383BF1" w:rsidRPr="001808A7" w:rsidRDefault="00383BF1" w:rsidP="00F266ED">
      <w:pPr>
        <w:rPr>
          <w:sz w:val="8"/>
          <w:szCs w:val="8"/>
        </w:rPr>
      </w:pPr>
    </w:p>
    <w:p w:rsidR="00383BF1" w:rsidRDefault="00383BF1" w:rsidP="00104AAA">
      <w:pPr>
        <w:pStyle w:val="ListParagraph"/>
        <w:numPr>
          <w:ilvl w:val="0"/>
          <w:numId w:val="13"/>
        </w:numPr>
      </w:pPr>
      <w:r>
        <w:t xml:space="preserve">The issues was discussed </w:t>
      </w:r>
      <w:r w:rsidR="00104AAA">
        <w:t>that these</w:t>
      </w:r>
      <w:r>
        <w:t xml:space="preserve"> would need to be draft projections as Statistics NZ are unlikely to have released their number for Household Generation Rates (based on the 2018 census) </w:t>
      </w:r>
      <w:r w:rsidR="00104AAA">
        <w:t>until Mid 2020 based on their timing of releases from the 2013 census.</w:t>
      </w:r>
    </w:p>
    <w:p w:rsidR="00104AAA" w:rsidRPr="001808A7" w:rsidRDefault="00104AAA" w:rsidP="00F266ED">
      <w:pPr>
        <w:rPr>
          <w:sz w:val="8"/>
          <w:szCs w:val="8"/>
        </w:rPr>
      </w:pPr>
    </w:p>
    <w:p w:rsidR="00104AAA" w:rsidRDefault="00104AAA" w:rsidP="00104AAA">
      <w:pPr>
        <w:pStyle w:val="ListParagraph"/>
        <w:numPr>
          <w:ilvl w:val="0"/>
          <w:numId w:val="13"/>
        </w:numPr>
      </w:pPr>
      <w:r>
        <w:t>This would necessitate a rerun of the projections in about November 2020 based on the updated Household Generation Rates to provide final data to support the 2021 LTPs</w:t>
      </w:r>
    </w:p>
    <w:p w:rsidR="00104AAA" w:rsidRPr="001F2F26" w:rsidRDefault="00104AAA" w:rsidP="00F266ED">
      <w:pPr>
        <w:rPr>
          <w:sz w:val="12"/>
          <w:szCs w:val="12"/>
        </w:rPr>
      </w:pPr>
    </w:p>
    <w:p w:rsidR="00104AAA" w:rsidRPr="001808A7" w:rsidRDefault="001808A7" w:rsidP="00F266ED">
      <w:r w:rsidRPr="001808A7">
        <w:rPr>
          <w:b/>
          <w:highlight w:val="yellow"/>
          <w:u w:val="single"/>
        </w:rPr>
        <w:t>New Action</w:t>
      </w:r>
      <w:r w:rsidR="00104AAA" w:rsidRPr="001808A7">
        <w:rPr>
          <w:b/>
          <w:highlight w:val="yellow"/>
        </w:rPr>
        <w:t xml:space="preserve">: </w:t>
      </w:r>
      <w:r w:rsidRPr="001808A7">
        <w:rPr>
          <w:highlight w:val="yellow"/>
        </w:rPr>
        <w:t>Tony/Beat to s</w:t>
      </w:r>
      <w:r w:rsidR="00104AAA" w:rsidRPr="001808A7">
        <w:rPr>
          <w:highlight w:val="yellow"/>
        </w:rPr>
        <w:t>eek feedback from Councils not present at this meeting to confirm their stance on this issue</w:t>
      </w:r>
      <w:r w:rsidRPr="001808A7">
        <w:t>.</w:t>
      </w:r>
      <w:r w:rsidR="00797596">
        <w:t xml:space="preserve">  (</w:t>
      </w:r>
      <w:r w:rsidR="00797596" w:rsidRPr="00797596">
        <w:rPr>
          <w:u w:val="single"/>
        </w:rPr>
        <w:t>Updated proposed timeline attached</w:t>
      </w:r>
      <w:r w:rsidR="00797596">
        <w:t xml:space="preserve">). </w:t>
      </w:r>
    </w:p>
    <w:p w:rsidR="00104AAA" w:rsidRDefault="00104AAA" w:rsidP="00F266ED"/>
    <w:p w:rsidR="001808A7" w:rsidRDefault="001808A7" w:rsidP="00F266ED"/>
    <w:p w:rsidR="00170FF6" w:rsidRDefault="00170FF6" w:rsidP="001F2F26">
      <w:pPr>
        <w:pStyle w:val="Heading1"/>
      </w:pPr>
      <w:r>
        <w:t>Specific Data needs of TA’s</w:t>
      </w:r>
    </w:p>
    <w:p w:rsidR="00BB2041" w:rsidRDefault="00BB2041" w:rsidP="00F266ED"/>
    <w:p w:rsidR="00D73575" w:rsidRDefault="00D73575" w:rsidP="00D73575">
      <w:r>
        <w:t>A table of understood data needs for the TA’s based on previous modelling work, meeting discussions and current work being undertaken was produced (</w:t>
      </w:r>
      <w:r w:rsidRPr="001808A7">
        <w:rPr>
          <w:u w:val="single"/>
        </w:rPr>
        <w:t>See Table below</w:t>
      </w:r>
      <w:r>
        <w:t>).  This shows Projections that:</w:t>
      </w:r>
    </w:p>
    <w:p w:rsidR="00D73575" w:rsidRDefault="00D73575" w:rsidP="00D73575">
      <w:pPr>
        <w:pStyle w:val="ListParagraph"/>
        <w:numPr>
          <w:ilvl w:val="0"/>
          <w:numId w:val="14"/>
        </w:numPr>
      </w:pPr>
      <w:r>
        <w:t>have been produced at  TA level (blue shading) by University of Waikato for Population and Households,</w:t>
      </w:r>
    </w:p>
    <w:p w:rsidR="00D73575" w:rsidRDefault="00D73575" w:rsidP="00D73575">
      <w:pPr>
        <w:pStyle w:val="ListParagraph"/>
        <w:numPr>
          <w:ilvl w:val="0"/>
          <w:numId w:val="14"/>
        </w:numPr>
      </w:pPr>
      <w:r>
        <w:t>have been produced at a CAU level (orange shading) based on projected land use outputs from WISE</w:t>
      </w:r>
    </w:p>
    <w:p w:rsidR="00D73575" w:rsidRDefault="00D73575" w:rsidP="00D73575">
      <w:pPr>
        <w:pStyle w:val="ListParagraph"/>
        <w:numPr>
          <w:ilvl w:val="0"/>
          <w:numId w:val="14"/>
        </w:numPr>
      </w:pPr>
      <w:r>
        <w:t>are have been identified as required by some/all TA’s for future projections (points 1-4 in table)</w:t>
      </w:r>
    </w:p>
    <w:p w:rsidR="00D73575" w:rsidRDefault="00D73575" w:rsidP="00D73575">
      <w:pPr>
        <w:pStyle w:val="ListParagraph"/>
        <w:numPr>
          <w:ilvl w:val="0"/>
          <w:numId w:val="14"/>
        </w:numPr>
      </w:pPr>
      <w:r>
        <w:t xml:space="preserve">are currently being developed under additional analysis by Market Economics (points 5 </w:t>
      </w:r>
      <w:r w:rsidR="005D65B0">
        <w:t xml:space="preserve">in </w:t>
      </w:r>
      <w:r>
        <w:t>table)</w:t>
      </w:r>
    </w:p>
    <w:p w:rsidR="00D73575" w:rsidRDefault="00D73575" w:rsidP="00D73575"/>
    <w:p w:rsidR="00D73575" w:rsidRDefault="00D73575" w:rsidP="00D73575">
      <w:r>
        <w:t>The question was asked:</w:t>
      </w:r>
    </w:p>
    <w:p w:rsidR="00D73575" w:rsidRPr="001808A7" w:rsidRDefault="00D73575" w:rsidP="00D73575">
      <w:pPr>
        <w:rPr>
          <w:sz w:val="16"/>
          <w:szCs w:val="16"/>
        </w:rPr>
      </w:pPr>
    </w:p>
    <w:p w:rsidR="00E57347" w:rsidRPr="001808A7" w:rsidRDefault="00E57347" w:rsidP="00D73575">
      <w:pPr>
        <w:rPr>
          <w:b/>
          <w:bCs/>
          <w:szCs w:val="22"/>
        </w:rPr>
      </w:pPr>
      <w:r w:rsidRPr="001808A7">
        <w:rPr>
          <w:b/>
          <w:bCs/>
          <w:szCs w:val="22"/>
        </w:rPr>
        <w:t>Are there other parameters you need for your LTP planning?</w:t>
      </w:r>
    </w:p>
    <w:p w:rsidR="00D73575" w:rsidRDefault="00D73575" w:rsidP="00E57347"/>
    <w:p w:rsidR="00D73575" w:rsidRDefault="00D73575" w:rsidP="00E57347">
      <w:r>
        <w:t>There were no further parameters identified at the meeting.</w:t>
      </w:r>
    </w:p>
    <w:p w:rsidR="00D73575" w:rsidRDefault="00D73575" w:rsidP="00E57347"/>
    <w:p w:rsidR="00D73575" w:rsidRDefault="00691E38" w:rsidP="00E57347">
      <w:r>
        <w:t>Of those parameters previously identified only ‘Households  by Wards/settlement areas” is unable to be projected as the supporting census data is not available at these areas (i.e. their boundaries are not consistent with CAU units)</w:t>
      </w:r>
      <w:r w:rsidR="001808A7">
        <w:t>.</w:t>
      </w:r>
    </w:p>
    <w:p w:rsidR="00691E38" w:rsidRDefault="00691E38" w:rsidP="00E57347"/>
    <w:p w:rsidR="00691E38" w:rsidRDefault="00691E38" w:rsidP="00E57347">
      <w:r>
        <w:t>Dwellings and Rating units could be projected if some generalized assumptions are made (and agreed by TA’s).  It was also raised that these parameters are being estimated/projected for current LTP process and it would be good to capture what modelling processes and assumptions</w:t>
      </w:r>
      <w:r w:rsidRPr="00691E38">
        <w:t xml:space="preserve"> </w:t>
      </w:r>
      <w:r>
        <w:t>were used.</w:t>
      </w:r>
    </w:p>
    <w:p w:rsidR="00691E38" w:rsidRDefault="00691E38" w:rsidP="00691E38">
      <w:pPr>
        <w:rPr>
          <w:szCs w:val="22"/>
        </w:rPr>
      </w:pPr>
    </w:p>
    <w:p w:rsidR="00691E38" w:rsidRDefault="00691E38" w:rsidP="00691E38">
      <w:pPr>
        <w:rPr>
          <w:szCs w:val="22"/>
        </w:rPr>
      </w:pPr>
      <w:r w:rsidRPr="007E2549">
        <w:rPr>
          <w:szCs w:val="22"/>
        </w:rPr>
        <w:t>Data needs for Transport Modelling were identify as bre</w:t>
      </w:r>
      <w:r w:rsidR="001808A7">
        <w:rPr>
          <w:szCs w:val="22"/>
        </w:rPr>
        <w:t>akdown to modelling zones for h</w:t>
      </w:r>
      <w:r>
        <w:rPr>
          <w:szCs w:val="22"/>
        </w:rPr>
        <w:t>ouseh</w:t>
      </w:r>
      <w:r w:rsidR="001808A7">
        <w:rPr>
          <w:szCs w:val="22"/>
        </w:rPr>
        <w:t>olds (types?) and employment projections.</w:t>
      </w:r>
    </w:p>
    <w:p w:rsidR="00691E38" w:rsidRPr="007E2549" w:rsidRDefault="00691E38" w:rsidP="00691E38">
      <w:pPr>
        <w:rPr>
          <w:szCs w:val="22"/>
        </w:rPr>
      </w:pPr>
    </w:p>
    <w:p w:rsidR="00691E38" w:rsidRDefault="00691E38" w:rsidP="00691E38">
      <w:pPr>
        <w:rPr>
          <w:sz w:val="16"/>
          <w:szCs w:val="16"/>
        </w:rPr>
      </w:pPr>
    </w:p>
    <w:p w:rsidR="00691E38" w:rsidRPr="001808A7" w:rsidRDefault="001808A7" w:rsidP="00691E38">
      <w:pPr>
        <w:rPr>
          <w:b/>
        </w:rPr>
      </w:pPr>
      <w:r w:rsidRPr="001808A7">
        <w:rPr>
          <w:b/>
          <w:highlight w:val="yellow"/>
          <w:u w:val="single"/>
        </w:rPr>
        <w:t xml:space="preserve">New </w:t>
      </w:r>
      <w:r w:rsidR="00691E38" w:rsidRPr="001808A7">
        <w:rPr>
          <w:b/>
          <w:highlight w:val="yellow"/>
          <w:u w:val="single"/>
        </w:rPr>
        <w:t>Action</w:t>
      </w:r>
      <w:r w:rsidR="00691E38" w:rsidRPr="001808A7">
        <w:rPr>
          <w:b/>
          <w:highlight w:val="yellow"/>
        </w:rPr>
        <w:t xml:space="preserve">: </w:t>
      </w:r>
      <w:r w:rsidR="00691E38" w:rsidRPr="001808A7">
        <w:rPr>
          <w:highlight w:val="yellow"/>
        </w:rPr>
        <w:t xml:space="preserve">Seek feedback from Councils not present at this meeting to confirm their specific data needs </w:t>
      </w:r>
      <w:r>
        <w:rPr>
          <w:highlight w:val="yellow"/>
        </w:rPr>
        <w:t>to complete the able table below</w:t>
      </w:r>
      <w:r w:rsidR="00691E38" w:rsidRPr="001808A7">
        <w:rPr>
          <w:b/>
          <w:highlight w:val="yellow"/>
        </w:rPr>
        <w:t>.</w:t>
      </w:r>
    </w:p>
    <w:p w:rsidR="00691E38" w:rsidRPr="001808A7" w:rsidRDefault="00691E38" w:rsidP="00691E38">
      <w:pPr>
        <w:rPr>
          <w:b/>
        </w:rPr>
      </w:pPr>
    </w:p>
    <w:p w:rsidR="00691E38" w:rsidRPr="001808A7" w:rsidRDefault="00691E38" w:rsidP="00691E38">
      <w:r w:rsidRPr="001808A7">
        <w:rPr>
          <w:highlight w:val="yellow"/>
        </w:rPr>
        <w:t>Also get input on how parameters such as rating units/Dwellings are being projected for this LTP and what assumptions are being used</w:t>
      </w:r>
      <w:r w:rsidR="001808A7">
        <w:t xml:space="preserve"> (current work by MDDC, HDC, TCDC, SWDC and Waitomo(?). </w:t>
      </w:r>
    </w:p>
    <w:p w:rsidR="00691E38" w:rsidRDefault="00691E38" w:rsidP="00691E38"/>
    <w:p w:rsidR="00691E38" w:rsidRDefault="00691E38" w:rsidP="00691E38">
      <w:pPr>
        <w:rPr>
          <w:sz w:val="16"/>
          <w:szCs w:val="16"/>
        </w:rPr>
      </w:pPr>
    </w:p>
    <w:p w:rsidR="00E57347" w:rsidRDefault="00E57347" w:rsidP="00691E38">
      <w:pPr>
        <w:spacing w:before="200" w:after="200" w:line="276" w:lineRule="auto"/>
        <w:jc w:val="left"/>
      </w:pPr>
    </w:p>
    <w:p w:rsidR="004D4F31" w:rsidRDefault="00383BF1" w:rsidP="00F266ED">
      <w:pPr>
        <w:rPr>
          <w:sz w:val="16"/>
          <w:szCs w:val="16"/>
        </w:rPr>
      </w:pPr>
      <w:r w:rsidRPr="00383BF1">
        <w:rPr>
          <w:noProof/>
          <w:lang w:val="en-NZ"/>
        </w:rPr>
        <w:lastRenderedPageBreak/>
        <w:drawing>
          <wp:inline distT="0" distB="0" distL="0" distR="0" wp14:anchorId="6A4EAB9B" wp14:editId="671A5790">
            <wp:extent cx="5759450" cy="516191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5161913"/>
                    </a:xfrm>
                    <a:prstGeom prst="rect">
                      <a:avLst/>
                    </a:prstGeom>
                    <a:noFill/>
                    <a:ln>
                      <a:noFill/>
                    </a:ln>
                  </pic:spPr>
                </pic:pic>
              </a:graphicData>
            </a:graphic>
          </wp:inline>
        </w:drawing>
      </w:r>
    </w:p>
    <w:p w:rsidR="00104AAA" w:rsidRDefault="00104AAA" w:rsidP="00F266ED">
      <w:pPr>
        <w:rPr>
          <w:sz w:val="16"/>
          <w:szCs w:val="16"/>
        </w:rPr>
      </w:pPr>
    </w:p>
    <w:p w:rsidR="00104AAA" w:rsidRDefault="00104AAA" w:rsidP="00F266ED">
      <w:pPr>
        <w:rPr>
          <w:sz w:val="16"/>
          <w:szCs w:val="16"/>
        </w:rPr>
      </w:pPr>
    </w:p>
    <w:p w:rsidR="001808A7" w:rsidRDefault="001808A7" w:rsidP="00F266ED">
      <w:pPr>
        <w:rPr>
          <w:sz w:val="16"/>
          <w:szCs w:val="16"/>
        </w:rPr>
      </w:pPr>
    </w:p>
    <w:p w:rsidR="001808A7" w:rsidRDefault="001808A7" w:rsidP="00F266ED">
      <w:pPr>
        <w:rPr>
          <w:sz w:val="16"/>
          <w:szCs w:val="16"/>
        </w:rPr>
      </w:pPr>
    </w:p>
    <w:p w:rsidR="00170FF6" w:rsidRDefault="00E57347" w:rsidP="001F2F26">
      <w:pPr>
        <w:pStyle w:val="Heading1"/>
      </w:pPr>
      <w:r>
        <w:t>Households Modelling in WISE</w:t>
      </w:r>
    </w:p>
    <w:p w:rsidR="004C7692" w:rsidRDefault="004C7692" w:rsidP="004C7692"/>
    <w:p w:rsidR="004C7692" w:rsidRDefault="00F20294" w:rsidP="004C7692">
      <w:r>
        <w:t>The option to add in additional residential land use types in a future update of the WISE model is being explored. This will be investigated further and reported on as it influences the setup and functioning of any households modeling that might be included into WISE.</w:t>
      </w:r>
    </w:p>
    <w:p w:rsidR="004C7692" w:rsidRDefault="004C7692" w:rsidP="004C7692"/>
    <w:p w:rsidR="004C7692" w:rsidRDefault="00F20294" w:rsidP="004C7692">
      <w:r>
        <w:t>At this stage it is seen a feasible to include a Households Model into WISE. The best approach is seen to be an option where</w:t>
      </w:r>
      <w:r w:rsidR="004C7692" w:rsidRPr="0053354D">
        <w:t xml:space="preserve"> the population model would feed into a Households Model, this component would then generate demand for each of the residential land use types and feed this information into the WISE</w:t>
      </w:r>
      <w:r w:rsidR="004C7692">
        <w:t xml:space="preserve"> Land Use Change Model (Figure 1</w:t>
      </w:r>
      <w:r w:rsidR="004C7692" w:rsidRPr="0053354D">
        <w:t>).</w:t>
      </w:r>
    </w:p>
    <w:p w:rsidR="00F20294" w:rsidRDefault="00F20294" w:rsidP="004C7692"/>
    <w:p w:rsidR="00F20294" w:rsidRDefault="00F20294" w:rsidP="00F20294">
      <w:r>
        <w:t>WISE would then allocate residential land uses based on (TA level) household densities for each residential land use type. Within the Household model it is expected that demand for household generation for each residential land use type would be driven by specific preferences for each household type (i.e couples with children, single person)</w:t>
      </w:r>
    </w:p>
    <w:p w:rsidR="00F20294" w:rsidRDefault="00F20294" w:rsidP="004C7692"/>
    <w:p w:rsidR="00F20294" w:rsidRDefault="00F20294" w:rsidP="004C7692"/>
    <w:p w:rsidR="00F20294" w:rsidRDefault="00F20294" w:rsidP="004C7692"/>
    <w:p w:rsidR="00F20294" w:rsidRDefault="00F20294" w:rsidP="004C7692"/>
    <w:p w:rsidR="00F4789D" w:rsidRPr="0053354D" w:rsidRDefault="00F4789D" w:rsidP="004C7692"/>
    <w:p w:rsidR="004C7692" w:rsidRDefault="004C7692" w:rsidP="004C7692">
      <w:pPr>
        <w:rPr>
          <w:b/>
        </w:rPr>
      </w:pPr>
      <w:r>
        <w:rPr>
          <w:b/>
        </w:rPr>
        <w:lastRenderedPageBreak/>
        <w:t>Figure 1:   Land Use Modelling using</w:t>
      </w:r>
      <w:r w:rsidRPr="0053354D">
        <w:rPr>
          <w:b/>
        </w:rPr>
        <w:t xml:space="preserve"> household densities</w:t>
      </w:r>
    </w:p>
    <w:p w:rsidR="00F20294" w:rsidRPr="00F4789D" w:rsidRDefault="00F20294" w:rsidP="004C7692">
      <w:pPr>
        <w:rPr>
          <w:b/>
          <w:sz w:val="16"/>
          <w:szCs w:val="16"/>
        </w:rPr>
      </w:pPr>
    </w:p>
    <w:p w:rsidR="004C7692" w:rsidRPr="0053354D" w:rsidRDefault="004C7692" w:rsidP="004C7692">
      <w:r w:rsidRPr="0053354D">
        <w:rPr>
          <w:b/>
          <w:noProof/>
          <w:lang w:val="en-NZ"/>
        </w:rPr>
        <w:drawing>
          <wp:inline distT="0" distB="0" distL="0" distR="0" wp14:anchorId="106CCC4C" wp14:editId="38E63988">
            <wp:extent cx="5731510" cy="3223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p>
    <w:p w:rsidR="00F20294" w:rsidRDefault="00F20294" w:rsidP="004C7692"/>
    <w:p w:rsidR="00F20294" w:rsidRDefault="00F20294" w:rsidP="00F20294">
      <w:r w:rsidRPr="0053354D">
        <w:t xml:space="preserve">Using an allocation </w:t>
      </w:r>
      <w:r>
        <w:t>approach as outlined in Figure 2</w:t>
      </w:r>
      <w:r w:rsidRPr="0053354D">
        <w:t xml:space="preserve"> is seen as more defendable as demand LU types is being driven preferences of particular household types and not just population change.</w:t>
      </w:r>
    </w:p>
    <w:p w:rsidR="00F20294" w:rsidRDefault="00F20294" w:rsidP="00F20294"/>
    <w:p w:rsidR="00F20294" w:rsidRPr="0053354D" w:rsidRDefault="00F20294" w:rsidP="00F20294">
      <w:r>
        <w:t>It was noted that this approach will still have the limitation that is currently present with WISE modelling ( the TA average allocation of residential densities) as household densities will also be allocated based on TA averages.  The addition of more residential land use type will help to mitigate this issue (depending on the number and scope of additional residential types).  But the addition of a households model alone may not reflect some of the specific behaviours expected by TA’s in some areas as a result of specific socio-economic factors.</w:t>
      </w:r>
    </w:p>
    <w:p w:rsidR="004C7692" w:rsidRPr="0053354D" w:rsidRDefault="004C7692" w:rsidP="004C7692"/>
    <w:p w:rsidR="004C7692" w:rsidRDefault="004C7692" w:rsidP="004C7692">
      <w:pPr>
        <w:rPr>
          <w:b/>
        </w:rPr>
      </w:pPr>
      <w:r>
        <w:rPr>
          <w:b/>
        </w:rPr>
        <w:t>Figure 2</w:t>
      </w:r>
      <w:r w:rsidRPr="0053354D">
        <w:rPr>
          <w:b/>
        </w:rPr>
        <w:t>: Allocation of Population to Household Types to Land Use Demand</w:t>
      </w:r>
    </w:p>
    <w:p w:rsidR="004C7692" w:rsidRPr="00F4789D" w:rsidRDefault="004C7692" w:rsidP="004C7692">
      <w:pPr>
        <w:rPr>
          <w:b/>
          <w:sz w:val="16"/>
          <w:szCs w:val="16"/>
        </w:rPr>
      </w:pPr>
    </w:p>
    <w:p w:rsidR="004C7692" w:rsidRPr="0053354D" w:rsidRDefault="004C7692" w:rsidP="004C7692">
      <w:r w:rsidRPr="0053354D">
        <w:rPr>
          <w:noProof/>
          <w:lang w:val="en-NZ"/>
        </w:rPr>
        <w:drawing>
          <wp:inline distT="0" distB="0" distL="0" distR="0" wp14:anchorId="26345D0C" wp14:editId="41E2569F">
            <wp:extent cx="5731510" cy="2430377"/>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430377"/>
                    </a:xfrm>
                    <a:prstGeom prst="rect">
                      <a:avLst/>
                    </a:prstGeom>
                    <a:noFill/>
                    <a:ln>
                      <a:noFill/>
                    </a:ln>
                  </pic:spPr>
                </pic:pic>
              </a:graphicData>
            </a:graphic>
          </wp:inline>
        </w:drawing>
      </w:r>
    </w:p>
    <w:p w:rsidR="00F266ED" w:rsidRDefault="00F266ED" w:rsidP="00F266ED"/>
    <w:p w:rsidR="00344790" w:rsidRPr="00F4789D" w:rsidRDefault="00344790" w:rsidP="00107A9F">
      <w:pPr>
        <w:widowControl w:val="0"/>
        <w:tabs>
          <w:tab w:val="left" w:pos="220"/>
          <w:tab w:val="left" w:pos="720"/>
        </w:tabs>
        <w:autoSpaceDE w:val="0"/>
        <w:autoSpaceDN w:val="0"/>
        <w:adjustRightInd w:val="0"/>
        <w:spacing w:line="276" w:lineRule="auto"/>
        <w:jc w:val="left"/>
        <w:rPr>
          <w:rFonts w:eastAsia="Times New Roman" w:cs="Helvetica"/>
          <w:sz w:val="16"/>
          <w:szCs w:val="16"/>
        </w:rPr>
      </w:pPr>
    </w:p>
    <w:p w:rsidR="000F0F94" w:rsidRDefault="000F0F94" w:rsidP="001F2F26">
      <w:pPr>
        <w:pStyle w:val="Heading1"/>
        <w:rPr>
          <w:rFonts w:eastAsia="Times New Roman" w:cs="Helvetica"/>
          <w:szCs w:val="22"/>
        </w:rPr>
      </w:pPr>
      <w:r>
        <w:t>Stats NZ review of statistical geographies, including CAU boundaries</w:t>
      </w:r>
    </w:p>
    <w:p w:rsidR="007D7401" w:rsidRDefault="007D7401" w:rsidP="00EB5AD1">
      <w:pPr>
        <w:widowControl w:val="0"/>
        <w:tabs>
          <w:tab w:val="left" w:pos="220"/>
          <w:tab w:val="left" w:pos="720"/>
        </w:tabs>
        <w:autoSpaceDE w:val="0"/>
        <w:autoSpaceDN w:val="0"/>
        <w:adjustRightInd w:val="0"/>
        <w:spacing w:line="276" w:lineRule="auto"/>
        <w:jc w:val="left"/>
        <w:rPr>
          <w:rFonts w:eastAsia="Times New Roman" w:cs="Helvetica"/>
          <w:b/>
          <w:sz w:val="24"/>
          <w:szCs w:val="24"/>
        </w:rPr>
      </w:pPr>
    </w:p>
    <w:p w:rsidR="000F0F94" w:rsidRPr="00F4789D" w:rsidRDefault="00F4789D" w:rsidP="00EB5AD1">
      <w:pPr>
        <w:widowControl w:val="0"/>
        <w:tabs>
          <w:tab w:val="left" w:pos="220"/>
          <w:tab w:val="left" w:pos="720"/>
        </w:tabs>
        <w:autoSpaceDE w:val="0"/>
        <w:autoSpaceDN w:val="0"/>
        <w:adjustRightInd w:val="0"/>
        <w:spacing w:line="276" w:lineRule="auto"/>
        <w:jc w:val="left"/>
        <w:rPr>
          <w:rFonts w:eastAsia="Times New Roman" w:cs="Helvetica"/>
          <w:szCs w:val="22"/>
        </w:rPr>
      </w:pPr>
      <w:r w:rsidRPr="00F4789D">
        <w:rPr>
          <w:rFonts w:eastAsia="Times New Roman" w:cs="Helvetica"/>
          <w:szCs w:val="22"/>
        </w:rPr>
        <w:t>Stats has arranged several meetings with interested councils an</w:t>
      </w:r>
      <w:r>
        <w:rPr>
          <w:rFonts w:eastAsia="Times New Roman" w:cs="Helvetica"/>
          <w:szCs w:val="22"/>
        </w:rPr>
        <w:t xml:space="preserve">d other parties in the Waikato re their </w:t>
      </w:r>
      <w:hyperlink r:id="rId15" w:history="1">
        <w:r w:rsidRPr="00F4789D">
          <w:rPr>
            <w:rStyle w:val="Hyperlink"/>
            <w:rFonts w:eastAsia="Times New Roman" w:cs="Helvetica"/>
            <w:szCs w:val="22"/>
          </w:rPr>
          <w:t>review of geographical boundaries</w:t>
        </w:r>
      </w:hyperlink>
      <w:r>
        <w:rPr>
          <w:rFonts w:eastAsia="Times New Roman" w:cs="Helvetica"/>
          <w:szCs w:val="22"/>
        </w:rPr>
        <w:t xml:space="preserve"> (feedback at next meeting?). </w:t>
      </w:r>
    </w:p>
    <w:p w:rsidR="000F0F94" w:rsidRDefault="000F0F94" w:rsidP="00EB5AD1">
      <w:pPr>
        <w:widowControl w:val="0"/>
        <w:tabs>
          <w:tab w:val="left" w:pos="220"/>
          <w:tab w:val="left" w:pos="720"/>
        </w:tabs>
        <w:autoSpaceDE w:val="0"/>
        <w:autoSpaceDN w:val="0"/>
        <w:adjustRightInd w:val="0"/>
        <w:spacing w:line="276" w:lineRule="auto"/>
        <w:jc w:val="left"/>
        <w:rPr>
          <w:rFonts w:eastAsia="Times New Roman" w:cs="Helvetica"/>
          <w:b/>
          <w:sz w:val="24"/>
          <w:szCs w:val="24"/>
        </w:rPr>
      </w:pPr>
    </w:p>
    <w:p w:rsidR="00A95003" w:rsidRDefault="00D75D8B" w:rsidP="001F2F26">
      <w:pPr>
        <w:pStyle w:val="Heading1"/>
      </w:pPr>
      <w:r w:rsidRPr="00EB5AD1">
        <w:t>Next Steps</w:t>
      </w:r>
    </w:p>
    <w:p w:rsidR="00A95003" w:rsidRPr="00A95003" w:rsidRDefault="00A95003" w:rsidP="00344790">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344790" w:rsidRPr="00A95003" w:rsidRDefault="007752BC" w:rsidP="00E05748">
      <w:pPr>
        <w:pStyle w:val="ListParagraph"/>
        <w:widowControl w:val="0"/>
        <w:numPr>
          <w:ilvl w:val="0"/>
          <w:numId w:val="8"/>
        </w:numPr>
        <w:tabs>
          <w:tab w:val="left" w:pos="220"/>
          <w:tab w:val="left" w:pos="720"/>
        </w:tabs>
        <w:autoSpaceDE w:val="0"/>
        <w:autoSpaceDN w:val="0"/>
        <w:adjustRightInd w:val="0"/>
        <w:spacing w:line="276" w:lineRule="auto"/>
        <w:jc w:val="left"/>
        <w:rPr>
          <w:rFonts w:eastAsia="Times New Roman" w:cs="Helvetica"/>
          <w:sz w:val="24"/>
          <w:szCs w:val="24"/>
        </w:rPr>
      </w:pPr>
      <w:r>
        <w:rPr>
          <w:rFonts w:eastAsia="Times New Roman" w:cs="Helvetica"/>
          <w:szCs w:val="22"/>
        </w:rPr>
        <w:t>Seek feedback from all councils on their timeframe and specific data expectations</w:t>
      </w:r>
      <w:r w:rsidR="00A95003">
        <w:rPr>
          <w:rFonts w:eastAsia="Times New Roman" w:cs="Helvetica"/>
          <w:szCs w:val="22"/>
        </w:rPr>
        <w:t>.</w:t>
      </w:r>
    </w:p>
    <w:p w:rsidR="00A95003" w:rsidRPr="00A95003" w:rsidRDefault="007752BC" w:rsidP="00E05748">
      <w:pPr>
        <w:pStyle w:val="ListParagraph"/>
        <w:widowControl w:val="0"/>
        <w:numPr>
          <w:ilvl w:val="0"/>
          <w:numId w:val="8"/>
        </w:numPr>
        <w:tabs>
          <w:tab w:val="left" w:pos="220"/>
          <w:tab w:val="left" w:pos="720"/>
        </w:tabs>
        <w:autoSpaceDE w:val="0"/>
        <w:autoSpaceDN w:val="0"/>
        <w:adjustRightInd w:val="0"/>
        <w:spacing w:line="276" w:lineRule="auto"/>
        <w:jc w:val="left"/>
        <w:rPr>
          <w:rFonts w:eastAsia="Times New Roman" w:cs="Helvetica"/>
          <w:sz w:val="24"/>
          <w:szCs w:val="24"/>
        </w:rPr>
      </w:pPr>
      <w:r>
        <w:rPr>
          <w:rFonts w:eastAsia="Times New Roman" w:cs="Helvetica"/>
          <w:szCs w:val="22"/>
        </w:rPr>
        <w:t xml:space="preserve">Further develop plans </w:t>
      </w:r>
      <w:r w:rsidR="000A0DE0">
        <w:rPr>
          <w:rFonts w:eastAsia="Times New Roman" w:cs="Helvetica"/>
          <w:szCs w:val="22"/>
        </w:rPr>
        <w:t xml:space="preserve">for proposed improvements of projections modelling processes and </w:t>
      </w:r>
      <w:r>
        <w:rPr>
          <w:rFonts w:eastAsia="Times New Roman" w:cs="Helvetica"/>
          <w:szCs w:val="22"/>
        </w:rPr>
        <w:t>updating WISE model</w:t>
      </w:r>
      <w:r w:rsidR="000F0F94">
        <w:rPr>
          <w:rFonts w:eastAsia="Times New Roman" w:cs="Helvetica"/>
          <w:szCs w:val="22"/>
        </w:rPr>
        <w:t xml:space="preserve"> </w:t>
      </w:r>
      <w:r>
        <w:rPr>
          <w:rFonts w:eastAsia="Times New Roman" w:cs="Helvetica"/>
          <w:szCs w:val="22"/>
        </w:rPr>
        <w:t xml:space="preserve">to support </w:t>
      </w:r>
      <w:r w:rsidR="000A0DE0">
        <w:rPr>
          <w:rFonts w:eastAsia="Times New Roman" w:cs="Helvetica"/>
          <w:szCs w:val="22"/>
        </w:rPr>
        <w:t xml:space="preserve">needs and </w:t>
      </w:r>
      <w:r w:rsidR="000F0F94">
        <w:rPr>
          <w:rFonts w:eastAsia="Times New Roman" w:cs="Helvetica"/>
          <w:szCs w:val="22"/>
        </w:rPr>
        <w:t>expectations</w:t>
      </w:r>
      <w:r w:rsidR="00A95003">
        <w:rPr>
          <w:rFonts w:eastAsia="Times New Roman" w:cs="Helvetica"/>
          <w:szCs w:val="22"/>
        </w:rPr>
        <w:t xml:space="preserve">. </w:t>
      </w:r>
    </w:p>
    <w:p w:rsidR="00A95003" w:rsidRPr="00A95003" w:rsidRDefault="00A95003" w:rsidP="00E05748">
      <w:pPr>
        <w:pStyle w:val="ListParagraph"/>
        <w:widowControl w:val="0"/>
        <w:numPr>
          <w:ilvl w:val="0"/>
          <w:numId w:val="8"/>
        </w:numPr>
        <w:tabs>
          <w:tab w:val="left" w:pos="220"/>
          <w:tab w:val="left" w:pos="720"/>
        </w:tabs>
        <w:autoSpaceDE w:val="0"/>
        <w:autoSpaceDN w:val="0"/>
        <w:adjustRightInd w:val="0"/>
        <w:spacing w:line="276" w:lineRule="auto"/>
        <w:jc w:val="left"/>
        <w:rPr>
          <w:rFonts w:eastAsia="Times New Roman" w:cs="Helvetica"/>
          <w:sz w:val="24"/>
          <w:szCs w:val="24"/>
        </w:rPr>
      </w:pPr>
      <w:r>
        <w:rPr>
          <w:rFonts w:eastAsia="Times New Roman" w:cs="Helvetica"/>
          <w:szCs w:val="22"/>
        </w:rPr>
        <w:t xml:space="preserve">Next </w:t>
      </w:r>
      <w:r w:rsidR="000F0F94">
        <w:rPr>
          <w:rFonts w:eastAsia="Times New Roman" w:cs="Helvetica"/>
          <w:szCs w:val="22"/>
        </w:rPr>
        <w:t xml:space="preserve">meeting scheduled </w:t>
      </w:r>
      <w:r w:rsidR="000A0DE0">
        <w:rPr>
          <w:rFonts w:eastAsia="Times New Roman" w:cs="Helvetica"/>
          <w:szCs w:val="22"/>
        </w:rPr>
        <w:t>for July/August.</w:t>
      </w:r>
      <w:r>
        <w:rPr>
          <w:rFonts w:eastAsia="Times New Roman" w:cs="Helvetica"/>
          <w:szCs w:val="22"/>
        </w:rPr>
        <w:t xml:space="preserve"> </w:t>
      </w: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797596" w:rsidRDefault="00797596"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797596" w:rsidRDefault="00797596"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797596" w:rsidRDefault="00797596"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797596" w:rsidRDefault="00797596" w:rsidP="00797596">
      <w:pPr>
        <w:rPr>
          <w:rFonts w:eastAsia="Times New Roman" w:cs="Helvetica"/>
          <w:sz w:val="12"/>
          <w:szCs w:val="12"/>
        </w:rPr>
      </w:pPr>
    </w:p>
    <w:p w:rsidR="00797596" w:rsidRDefault="00797596" w:rsidP="00797596">
      <w:pPr>
        <w:rPr>
          <w:rFonts w:ascii="Calibri" w:hAnsi="Calibri"/>
          <w:color w:val="1F497D"/>
          <w:sz w:val="32"/>
          <w:szCs w:val="32"/>
          <w:lang w:eastAsia="en-US"/>
        </w:rPr>
      </w:pPr>
      <w:r>
        <w:rPr>
          <w:rFonts w:ascii="Calibri" w:hAnsi="Calibri"/>
          <w:b/>
          <w:bCs/>
          <w:color w:val="1F497D"/>
          <w:sz w:val="32"/>
          <w:szCs w:val="32"/>
          <w:u w:val="single"/>
          <w:lang w:eastAsia="en-US"/>
        </w:rPr>
        <w:t>Access to Shared folder</w:t>
      </w:r>
    </w:p>
    <w:p w:rsidR="00797596" w:rsidRPr="00797596" w:rsidRDefault="00797596" w:rsidP="00797596">
      <w:pPr>
        <w:pStyle w:val="ListParagraph"/>
        <w:numPr>
          <w:ilvl w:val="0"/>
          <w:numId w:val="15"/>
        </w:numPr>
        <w:rPr>
          <w:rFonts w:ascii="Calibri" w:eastAsiaTheme="minorHAnsi" w:hAnsi="Calibri"/>
          <w:color w:val="1F497D"/>
          <w:sz w:val="28"/>
          <w:szCs w:val="28"/>
          <w:lang w:val="en-NZ" w:eastAsia="en-US"/>
        </w:rPr>
      </w:pPr>
      <w:r w:rsidRPr="00797596">
        <w:rPr>
          <w:rFonts w:ascii="Calibri" w:hAnsi="Calibri"/>
          <w:color w:val="1F497D"/>
          <w:sz w:val="28"/>
          <w:szCs w:val="28"/>
          <w:lang w:eastAsia="en-US"/>
        </w:rPr>
        <w:t>Projection data and documents</w:t>
      </w:r>
    </w:p>
    <w:p w:rsidR="00797596" w:rsidRPr="00797596" w:rsidRDefault="00797596" w:rsidP="00797596">
      <w:pPr>
        <w:pStyle w:val="ListParagraph"/>
        <w:numPr>
          <w:ilvl w:val="0"/>
          <w:numId w:val="15"/>
        </w:numPr>
        <w:rPr>
          <w:rFonts w:ascii="Calibri" w:eastAsiaTheme="minorHAnsi" w:hAnsi="Calibri"/>
          <w:color w:val="1F497D"/>
          <w:sz w:val="28"/>
          <w:szCs w:val="28"/>
          <w:lang w:val="en-NZ" w:eastAsia="en-US"/>
        </w:rPr>
      </w:pPr>
      <w:r w:rsidRPr="00797596">
        <w:rPr>
          <w:rFonts w:ascii="Calibri" w:hAnsi="Calibri"/>
          <w:color w:val="1F497D"/>
          <w:sz w:val="28"/>
          <w:szCs w:val="28"/>
          <w:lang w:eastAsia="en-US"/>
        </w:rPr>
        <w:t>Meeting notes and other material</w:t>
      </w: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tbl>
      <w:tblPr>
        <w:tblStyle w:val="TableGrid"/>
        <w:tblW w:w="0" w:type="auto"/>
        <w:tblLook w:val="04A0" w:firstRow="1" w:lastRow="0" w:firstColumn="1" w:lastColumn="0" w:noHBand="0" w:noVBand="1"/>
      </w:tblPr>
      <w:tblGrid>
        <w:gridCol w:w="9060"/>
      </w:tblGrid>
      <w:tr w:rsidR="003B44C8" w:rsidTr="003B44C8">
        <w:tc>
          <w:tcPr>
            <w:tcW w:w="9060" w:type="dxa"/>
          </w:tcPr>
          <w:p w:rsidR="003B44C8" w:rsidRPr="00797596" w:rsidRDefault="003B44C8" w:rsidP="003B44C8">
            <w:pPr>
              <w:rPr>
                <w:rFonts w:ascii="Calibri" w:hAnsi="Calibri"/>
                <w:b/>
                <w:bCs/>
                <w:color w:val="1F497D"/>
                <w:sz w:val="16"/>
                <w:szCs w:val="16"/>
                <w:u w:val="single"/>
                <w:lang w:eastAsia="en-US"/>
              </w:rPr>
            </w:pPr>
          </w:p>
          <w:p w:rsidR="003B44C8" w:rsidRPr="000F0F94" w:rsidRDefault="003B44C8" w:rsidP="003B44C8">
            <w:pPr>
              <w:rPr>
                <w:rFonts w:ascii="Calibri" w:hAnsi="Calibri"/>
                <w:color w:val="1F497D"/>
                <w:sz w:val="12"/>
                <w:szCs w:val="12"/>
                <w:highlight w:val="yellow"/>
                <w:lang w:eastAsia="en-US"/>
              </w:rPr>
            </w:pPr>
          </w:p>
          <w:p w:rsidR="003B44C8" w:rsidRPr="00797596" w:rsidRDefault="003B44C8" w:rsidP="00E05748">
            <w:pPr>
              <w:pStyle w:val="ListParagraph"/>
              <w:numPr>
                <w:ilvl w:val="0"/>
                <w:numId w:val="1"/>
              </w:numPr>
              <w:contextualSpacing w:val="0"/>
              <w:jc w:val="left"/>
              <w:rPr>
                <w:color w:val="1F497D"/>
                <w:sz w:val="20"/>
              </w:rPr>
            </w:pPr>
            <w:r w:rsidRPr="00797596">
              <w:rPr>
                <w:color w:val="1F497D"/>
              </w:rPr>
              <w:t>Land Use projection Oct 2016 (data, maps, animations and report) – TAs and CAU</w:t>
            </w:r>
          </w:p>
          <w:p w:rsidR="003B44C8" w:rsidRPr="00797596" w:rsidRDefault="003B44C8" w:rsidP="00E05748">
            <w:pPr>
              <w:pStyle w:val="ListParagraph"/>
              <w:numPr>
                <w:ilvl w:val="0"/>
                <w:numId w:val="1"/>
              </w:numPr>
              <w:contextualSpacing w:val="0"/>
              <w:jc w:val="left"/>
              <w:rPr>
                <w:rFonts w:ascii="Calibri" w:hAnsi="Calibri"/>
                <w:color w:val="1F497D"/>
                <w:szCs w:val="22"/>
                <w:lang w:eastAsia="en-US"/>
              </w:rPr>
            </w:pPr>
            <w:r w:rsidRPr="00797596">
              <w:rPr>
                <w:color w:val="1F497D"/>
              </w:rPr>
              <w:t>Population, Household and Labour force projections Oct 2016  (data and report) – TAs</w:t>
            </w:r>
          </w:p>
          <w:p w:rsidR="00797596" w:rsidRDefault="003B44C8" w:rsidP="003B44C8">
            <w:pPr>
              <w:ind w:left="720"/>
              <w:jc w:val="left"/>
              <w:rPr>
                <w:rFonts w:ascii="Calibri" w:hAnsi="Calibri"/>
                <w:color w:val="1F497D"/>
                <w:szCs w:val="22"/>
                <w:lang w:eastAsia="en-US"/>
              </w:rPr>
            </w:pPr>
            <w:r w:rsidRPr="00797596">
              <w:rPr>
                <w:rFonts w:ascii="Calibri" w:hAnsi="Calibri"/>
                <w:color w:val="1F497D"/>
                <w:szCs w:val="22"/>
                <w:lang w:eastAsia="en-US"/>
              </w:rPr>
              <w:t>(CAU level data not yet completed).</w:t>
            </w:r>
          </w:p>
          <w:p w:rsidR="003B44C8" w:rsidRPr="00797596" w:rsidRDefault="00797596" w:rsidP="00797596">
            <w:pPr>
              <w:pStyle w:val="ListParagraph"/>
              <w:numPr>
                <w:ilvl w:val="0"/>
                <w:numId w:val="1"/>
              </w:numPr>
              <w:jc w:val="left"/>
              <w:rPr>
                <w:rFonts w:ascii="Calibri" w:hAnsi="Calibri"/>
                <w:color w:val="1F497D"/>
                <w:szCs w:val="22"/>
                <w:lang w:eastAsia="en-US"/>
              </w:rPr>
            </w:pPr>
            <w:r>
              <w:rPr>
                <w:rFonts w:ascii="Calibri" w:hAnsi="Calibri"/>
                <w:color w:val="1F497D"/>
                <w:szCs w:val="22"/>
                <w:lang w:eastAsia="en-US"/>
              </w:rPr>
              <w:t xml:space="preserve">Meeting notes, presentations and other material. </w:t>
            </w:r>
          </w:p>
          <w:p w:rsidR="003B44C8" w:rsidRPr="00797596" w:rsidRDefault="003B44C8" w:rsidP="003B44C8">
            <w:pPr>
              <w:rPr>
                <w:rFonts w:ascii="Calibri" w:hAnsi="Calibri"/>
                <w:b/>
                <w:bCs/>
                <w:color w:val="1F497D"/>
                <w:szCs w:val="22"/>
                <w:lang w:eastAsia="en-US"/>
              </w:rPr>
            </w:pPr>
          </w:p>
          <w:p w:rsidR="003B44C8" w:rsidRPr="000F0F94" w:rsidRDefault="003B44C8" w:rsidP="003B44C8">
            <w:pPr>
              <w:rPr>
                <w:rFonts w:ascii="Calibri" w:hAnsi="Calibri"/>
                <w:color w:val="1F497D"/>
                <w:szCs w:val="22"/>
                <w:highlight w:val="yellow"/>
                <w:lang w:eastAsia="en-US"/>
              </w:rPr>
            </w:pPr>
            <w:r w:rsidRPr="000F0F94">
              <w:rPr>
                <w:rFonts w:ascii="Calibri" w:hAnsi="Calibri"/>
                <w:b/>
                <w:bCs/>
                <w:color w:val="1F497D"/>
                <w:szCs w:val="22"/>
                <w:highlight w:val="yellow"/>
                <w:lang w:eastAsia="en-US"/>
              </w:rPr>
              <w:t>Access Instructions</w:t>
            </w:r>
            <w:r w:rsidRPr="000F0F94">
              <w:rPr>
                <w:rFonts w:ascii="Calibri" w:hAnsi="Calibri"/>
                <w:color w:val="1F497D"/>
                <w:szCs w:val="22"/>
                <w:highlight w:val="yellow"/>
                <w:lang w:eastAsia="en-US"/>
              </w:rPr>
              <w:t xml:space="preserve">: </w:t>
            </w:r>
          </w:p>
          <w:p w:rsidR="003B44C8" w:rsidRPr="000F0F94" w:rsidRDefault="003B44C8" w:rsidP="003B44C8">
            <w:pPr>
              <w:rPr>
                <w:rFonts w:ascii="Calibri" w:hAnsi="Calibri"/>
                <w:color w:val="1F497D"/>
                <w:sz w:val="8"/>
                <w:szCs w:val="8"/>
                <w:highlight w:val="yellow"/>
                <w:lang w:eastAsia="en-US"/>
              </w:rPr>
            </w:pPr>
          </w:p>
          <w:p w:rsidR="003B44C8" w:rsidRPr="000F0F94" w:rsidRDefault="003B44C8" w:rsidP="003B44C8">
            <w:pPr>
              <w:pStyle w:val="PlainText"/>
              <w:rPr>
                <w:sz w:val="20"/>
                <w:szCs w:val="20"/>
                <w:highlight w:val="yellow"/>
              </w:rPr>
            </w:pPr>
            <w:r w:rsidRPr="00797596">
              <w:rPr>
                <w:sz w:val="20"/>
                <w:szCs w:val="20"/>
              </w:rPr>
              <w:t xml:space="preserve">1. Select </w:t>
            </w:r>
            <w:r w:rsidRPr="000F0F94">
              <w:rPr>
                <w:b/>
                <w:color w:val="FF0000"/>
                <w:sz w:val="22"/>
                <w:szCs w:val="22"/>
                <w:highlight w:val="yellow"/>
              </w:rPr>
              <w:t xml:space="preserve">(DO </w:t>
            </w:r>
            <w:r w:rsidRPr="000F0F94">
              <w:rPr>
                <w:b/>
                <w:color w:val="FF0000"/>
                <w:sz w:val="22"/>
                <w:szCs w:val="22"/>
                <w:highlight w:val="yellow"/>
                <w:u w:val="single"/>
              </w:rPr>
              <w:t>NOT</w:t>
            </w:r>
            <w:r w:rsidRPr="000F0F94">
              <w:rPr>
                <w:b/>
                <w:color w:val="FF0000"/>
                <w:sz w:val="22"/>
                <w:szCs w:val="22"/>
                <w:highlight w:val="yellow"/>
              </w:rPr>
              <w:t xml:space="preserve"> CLICK)</w:t>
            </w:r>
            <w:r w:rsidRPr="000F0F94">
              <w:rPr>
                <w:color w:val="FF0000"/>
                <w:sz w:val="20"/>
                <w:szCs w:val="20"/>
                <w:highlight w:val="yellow"/>
              </w:rPr>
              <w:t xml:space="preserve"> </w:t>
            </w:r>
            <w:r w:rsidRPr="00797596">
              <w:rPr>
                <w:sz w:val="20"/>
                <w:szCs w:val="20"/>
              </w:rPr>
              <w:t>the following link, right click and select “Copy”</w:t>
            </w:r>
          </w:p>
          <w:bookmarkStart w:id="0" w:name="_GoBack"/>
          <w:p w:rsidR="003B44C8" w:rsidRPr="00797596" w:rsidRDefault="009872CA" w:rsidP="00797596">
            <w:pPr>
              <w:spacing w:before="120"/>
              <w:ind w:firstLine="720"/>
              <w:rPr>
                <w:b/>
                <w:sz w:val="24"/>
                <w:szCs w:val="24"/>
              </w:rPr>
            </w:pPr>
            <w:r>
              <w:fldChar w:fldCharType="begin"/>
            </w:r>
            <w:r>
              <w:instrText xml:space="preserve"> HYPERLINK "ftp://Projections:CRiZSjCR@pubftp.waikatoregion.govt.nz/" </w:instrText>
            </w:r>
            <w:r>
              <w:fldChar w:fldCharType="separate"/>
            </w:r>
            <w:r w:rsidR="003B44C8" w:rsidRPr="00797596">
              <w:rPr>
                <w:rStyle w:val="Hyperlink"/>
                <w:b/>
                <w:color w:val="17365D" w:themeColor="text2" w:themeShade="BF"/>
                <w:sz w:val="24"/>
                <w:szCs w:val="24"/>
              </w:rPr>
              <w:t>ftp://Projections:CRiZSjCR@pubftp.waikatoregion.govt.nz</w:t>
            </w:r>
            <w:r>
              <w:rPr>
                <w:rStyle w:val="Hyperlink"/>
                <w:b/>
                <w:color w:val="17365D" w:themeColor="text2" w:themeShade="BF"/>
                <w:sz w:val="24"/>
                <w:szCs w:val="24"/>
              </w:rPr>
              <w:fldChar w:fldCharType="end"/>
            </w:r>
            <w:r w:rsidR="003B44C8" w:rsidRPr="00797596">
              <w:rPr>
                <w:b/>
                <w:sz w:val="24"/>
                <w:szCs w:val="24"/>
                <w:u w:val="single"/>
              </w:rPr>
              <w:t xml:space="preserve"> </w:t>
            </w:r>
          </w:p>
          <w:bookmarkEnd w:id="0"/>
          <w:p w:rsidR="003B44C8" w:rsidRPr="000F0F94" w:rsidRDefault="003B44C8" w:rsidP="003B44C8">
            <w:pPr>
              <w:ind w:firstLine="720"/>
              <w:rPr>
                <w:rFonts w:ascii="Calibri" w:hAnsi="Calibri"/>
                <w:color w:val="1F497D"/>
                <w:sz w:val="20"/>
                <w:highlight w:val="yellow"/>
                <w:lang w:eastAsia="en-US"/>
              </w:rPr>
            </w:pPr>
          </w:p>
          <w:p w:rsidR="003B44C8" w:rsidRPr="00797596" w:rsidRDefault="003B44C8" w:rsidP="003B44C8">
            <w:pPr>
              <w:pStyle w:val="PlainText"/>
              <w:rPr>
                <w:sz w:val="20"/>
                <w:szCs w:val="20"/>
              </w:rPr>
            </w:pPr>
            <w:r w:rsidRPr="00797596">
              <w:rPr>
                <w:sz w:val="20"/>
                <w:szCs w:val="20"/>
              </w:rPr>
              <w:t>2. Right-click on the Start menu on the Taskbar and select "Open Windows Explorer"</w:t>
            </w:r>
          </w:p>
          <w:p w:rsidR="003B44C8" w:rsidRPr="00797596" w:rsidRDefault="003B44C8" w:rsidP="003B44C8">
            <w:pPr>
              <w:pStyle w:val="PlainText"/>
              <w:rPr>
                <w:sz w:val="20"/>
                <w:szCs w:val="20"/>
              </w:rPr>
            </w:pPr>
            <w:r w:rsidRPr="00797596">
              <w:rPr>
                <w:sz w:val="20"/>
                <w:szCs w:val="20"/>
              </w:rPr>
              <w:t>3. Delete any address already in the Address Bar at the top of the window.</w:t>
            </w:r>
          </w:p>
          <w:p w:rsidR="003B44C8" w:rsidRPr="00797596" w:rsidRDefault="003B44C8" w:rsidP="003B44C8">
            <w:pPr>
              <w:pStyle w:val="PlainText"/>
              <w:rPr>
                <w:sz w:val="20"/>
                <w:szCs w:val="20"/>
              </w:rPr>
            </w:pPr>
            <w:r w:rsidRPr="00797596">
              <w:rPr>
                <w:sz w:val="20"/>
                <w:szCs w:val="20"/>
              </w:rPr>
              <w:t>   Click in the Address Bar, right click and select “Paste” and then “Enter”.</w:t>
            </w:r>
          </w:p>
          <w:p w:rsidR="003B44C8" w:rsidRPr="00797596" w:rsidRDefault="003B44C8" w:rsidP="003B44C8">
            <w:pPr>
              <w:pStyle w:val="PlainText"/>
              <w:rPr>
                <w:sz w:val="20"/>
                <w:szCs w:val="20"/>
              </w:rPr>
            </w:pPr>
            <w:r w:rsidRPr="00797596">
              <w:rPr>
                <w:sz w:val="20"/>
                <w:szCs w:val="20"/>
              </w:rPr>
              <w:t>4. The FTP folder will open.</w:t>
            </w:r>
          </w:p>
          <w:p w:rsidR="003B44C8" w:rsidRPr="000F0F94" w:rsidRDefault="003B44C8" w:rsidP="003B44C8">
            <w:pPr>
              <w:pStyle w:val="PlainText"/>
              <w:rPr>
                <w:sz w:val="20"/>
                <w:szCs w:val="20"/>
                <w:highlight w:val="yellow"/>
              </w:rPr>
            </w:pPr>
            <w:r w:rsidRPr="000F0F94">
              <w:rPr>
                <w:sz w:val="20"/>
                <w:szCs w:val="20"/>
                <w:highlight w:val="yellow"/>
              </w:rPr>
              <w:t xml:space="preserve">5. </w:t>
            </w:r>
            <w:r w:rsidRPr="000F0F94">
              <w:rPr>
                <w:b/>
                <w:color w:val="FF0000"/>
                <w:sz w:val="20"/>
                <w:szCs w:val="20"/>
                <w:highlight w:val="yellow"/>
              </w:rPr>
              <w:t>TO OPEN A FILE YOU NEED TO TRANSFER IT TO YOUR DESKTOP OR A SYSTEM DRIVE</w:t>
            </w:r>
            <w:r w:rsidRPr="000F0F94">
              <w:rPr>
                <w:color w:val="FF0000"/>
                <w:sz w:val="20"/>
                <w:szCs w:val="20"/>
                <w:highlight w:val="yellow"/>
              </w:rPr>
              <w:t xml:space="preserve">.  </w:t>
            </w:r>
          </w:p>
          <w:p w:rsidR="003B44C8" w:rsidRPr="000F0F94" w:rsidRDefault="003B44C8" w:rsidP="003B44C8">
            <w:pPr>
              <w:pStyle w:val="PlainText"/>
              <w:rPr>
                <w:sz w:val="20"/>
                <w:szCs w:val="20"/>
                <w:highlight w:val="yellow"/>
              </w:rPr>
            </w:pPr>
          </w:p>
          <w:p w:rsidR="003B44C8" w:rsidRPr="00213B4B" w:rsidRDefault="003B44C8" w:rsidP="003B44C8">
            <w:pPr>
              <w:pStyle w:val="PlainText"/>
              <w:rPr>
                <w:sz w:val="20"/>
                <w:szCs w:val="20"/>
              </w:rPr>
            </w:pPr>
            <w:r w:rsidRPr="00797596">
              <w:rPr>
                <w:sz w:val="20"/>
                <w:szCs w:val="20"/>
              </w:rPr>
              <w:t>If you can't open the folder please contact your Service Desk as FTP sites may be blocked.</w:t>
            </w:r>
          </w:p>
          <w:p w:rsidR="003B44C8" w:rsidRDefault="003B44C8"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tc>
      </w:tr>
    </w:tbl>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A95003"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p w:rsidR="00A95003" w:rsidRPr="00213B4B" w:rsidRDefault="00A95003" w:rsidP="00A63CCC">
      <w:pPr>
        <w:widowControl w:val="0"/>
        <w:tabs>
          <w:tab w:val="left" w:pos="220"/>
          <w:tab w:val="left" w:pos="720"/>
        </w:tabs>
        <w:autoSpaceDE w:val="0"/>
        <w:autoSpaceDN w:val="0"/>
        <w:adjustRightInd w:val="0"/>
        <w:spacing w:line="276" w:lineRule="auto"/>
        <w:jc w:val="left"/>
        <w:rPr>
          <w:rFonts w:eastAsia="Times New Roman" w:cs="Helvetica"/>
          <w:sz w:val="12"/>
          <w:szCs w:val="12"/>
        </w:rPr>
      </w:pPr>
    </w:p>
    <w:sectPr w:rsidR="00A95003" w:rsidRPr="00213B4B" w:rsidSect="003A1D2C">
      <w:footerReference w:type="even" r:id="rId16"/>
      <w:footerReference w:type="default" r:id="rId17"/>
      <w:footnotePr>
        <w:pos w:val="beneathText"/>
      </w:footnotePr>
      <w:pgSz w:w="11906" w:h="16838"/>
      <w:pgMar w:top="1134" w:right="1418" w:bottom="1134" w:left="141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1C6" w:rsidRDefault="00B231C6" w:rsidP="00E340F3">
      <w:r>
        <w:separator/>
      </w:r>
    </w:p>
  </w:endnote>
  <w:endnote w:type="continuationSeparator" w:id="0">
    <w:p w:rsidR="00B231C6" w:rsidRDefault="00B231C6" w:rsidP="00E34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tstream Vera Sans">
    <w:altName w:val="Times New Roman"/>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67D" w:rsidRDefault="0008567D" w:rsidP="009072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67D" w:rsidRDefault="0008567D" w:rsidP="00D040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920450"/>
      <w:docPartObj>
        <w:docPartGallery w:val="Page Numbers (Bottom of Page)"/>
        <w:docPartUnique/>
      </w:docPartObj>
    </w:sdtPr>
    <w:sdtEndPr>
      <w:rPr>
        <w:noProof/>
        <w:sz w:val="18"/>
      </w:rPr>
    </w:sdtEndPr>
    <w:sdtContent>
      <w:p w:rsidR="0008567D" w:rsidRPr="000028CF" w:rsidRDefault="0008567D">
        <w:pPr>
          <w:pStyle w:val="Footer"/>
          <w:jc w:val="right"/>
          <w:rPr>
            <w:sz w:val="18"/>
          </w:rPr>
        </w:pPr>
        <w:r w:rsidRPr="000028CF">
          <w:rPr>
            <w:sz w:val="18"/>
          </w:rPr>
          <w:fldChar w:fldCharType="begin"/>
        </w:r>
        <w:r w:rsidRPr="000028CF">
          <w:rPr>
            <w:sz w:val="18"/>
          </w:rPr>
          <w:instrText xml:space="preserve"> PAGE   \* MERGEFORMAT </w:instrText>
        </w:r>
        <w:r w:rsidRPr="000028CF">
          <w:rPr>
            <w:sz w:val="18"/>
          </w:rPr>
          <w:fldChar w:fldCharType="separate"/>
        </w:r>
        <w:r w:rsidR="009872CA">
          <w:rPr>
            <w:noProof/>
            <w:sz w:val="18"/>
          </w:rPr>
          <w:t>6</w:t>
        </w:r>
        <w:r w:rsidRPr="000028CF">
          <w:rPr>
            <w:noProof/>
            <w:sz w:val="18"/>
          </w:rPr>
          <w:fldChar w:fldCharType="end"/>
        </w:r>
      </w:p>
    </w:sdtContent>
  </w:sdt>
  <w:p w:rsidR="0008567D" w:rsidRDefault="00085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1C6" w:rsidRDefault="00B231C6" w:rsidP="00E340F3">
      <w:r>
        <w:separator/>
      </w:r>
    </w:p>
  </w:footnote>
  <w:footnote w:type="continuationSeparator" w:id="0">
    <w:p w:rsidR="00B231C6" w:rsidRDefault="00B231C6" w:rsidP="00E34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2F58"/>
    <w:multiLevelType w:val="hybridMultilevel"/>
    <w:tmpl w:val="E332B12E"/>
    <w:lvl w:ilvl="0" w:tplc="0FFA522A">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98D5051"/>
    <w:multiLevelType w:val="hybridMultilevel"/>
    <w:tmpl w:val="FF002BE4"/>
    <w:lvl w:ilvl="0" w:tplc="0FFA522A">
      <w:start w:val="2"/>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1066A9F"/>
    <w:multiLevelType w:val="hybridMultilevel"/>
    <w:tmpl w:val="37FAC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BD21899"/>
    <w:multiLevelType w:val="hybridMultilevel"/>
    <w:tmpl w:val="12465F5A"/>
    <w:lvl w:ilvl="0" w:tplc="D424E2A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F304C11"/>
    <w:multiLevelType w:val="hybridMultilevel"/>
    <w:tmpl w:val="FD86848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nsid w:val="43316E90"/>
    <w:multiLevelType w:val="hybridMultilevel"/>
    <w:tmpl w:val="9BB04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493104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4CE42CA"/>
    <w:multiLevelType w:val="hybridMultilevel"/>
    <w:tmpl w:val="1364314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8">
    <w:nsid w:val="564D180E"/>
    <w:multiLevelType w:val="hybridMultilevel"/>
    <w:tmpl w:val="5C68818E"/>
    <w:lvl w:ilvl="0" w:tplc="14090011">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9">
    <w:nsid w:val="598B6A33"/>
    <w:multiLevelType w:val="hybridMultilevel"/>
    <w:tmpl w:val="F48AD5C0"/>
    <w:lvl w:ilvl="0" w:tplc="1409000F">
      <w:start w:val="1"/>
      <w:numFmt w:val="decimal"/>
      <w:lvlText w:val="%1."/>
      <w:lvlJc w:val="left"/>
      <w:pPr>
        <w:ind w:left="720" w:hanging="360"/>
      </w:p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66BF6E80"/>
    <w:multiLevelType w:val="hybridMultilevel"/>
    <w:tmpl w:val="0F12A9C2"/>
    <w:lvl w:ilvl="0" w:tplc="1A6E4178">
      <w:start w:val="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2100EBB"/>
    <w:multiLevelType w:val="hybridMultilevel"/>
    <w:tmpl w:val="9C3AF1C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7A252219"/>
    <w:multiLevelType w:val="multilevel"/>
    <w:tmpl w:val="EC728874"/>
    <w:lvl w:ilvl="0">
      <w:start w:val="1"/>
      <w:numFmt w:val="decimal"/>
      <w:lvlText w:val="%1."/>
      <w:lvlJc w:val="left"/>
      <w:pPr>
        <w:ind w:left="580" w:hanging="360"/>
      </w:pPr>
      <w:rPr>
        <w:rFonts w:hint="default"/>
      </w:rPr>
    </w:lvl>
    <w:lvl w:ilvl="1">
      <w:start w:val="1"/>
      <w:numFmt w:val="lowerLetter"/>
      <w:lvlText w:val="%2)"/>
      <w:lvlJc w:val="left"/>
      <w:pPr>
        <w:ind w:left="940" w:hanging="360"/>
      </w:pPr>
      <w:rPr>
        <w:rFonts w:hint="default"/>
      </w:rPr>
    </w:lvl>
    <w:lvl w:ilvl="2">
      <w:start w:val="1"/>
      <w:numFmt w:val="lowerRoman"/>
      <w:lvlText w:val="%3)"/>
      <w:lvlJc w:val="left"/>
      <w:pPr>
        <w:ind w:left="1300" w:hanging="360"/>
      </w:pPr>
      <w:rPr>
        <w:rFonts w:hint="default"/>
      </w:rPr>
    </w:lvl>
    <w:lvl w:ilvl="3">
      <w:start w:val="1"/>
      <w:numFmt w:val="decimal"/>
      <w:lvlText w:val="(%4)"/>
      <w:lvlJc w:val="left"/>
      <w:pPr>
        <w:ind w:left="1660" w:hanging="360"/>
      </w:pPr>
      <w:rPr>
        <w:rFonts w:hint="default"/>
      </w:rPr>
    </w:lvl>
    <w:lvl w:ilvl="4">
      <w:start w:val="1"/>
      <w:numFmt w:val="lowerLetter"/>
      <w:lvlText w:val="(%5)"/>
      <w:lvlJc w:val="left"/>
      <w:pPr>
        <w:ind w:left="2020" w:hanging="360"/>
      </w:pPr>
      <w:rPr>
        <w:rFonts w:hint="default"/>
      </w:rPr>
    </w:lvl>
    <w:lvl w:ilvl="5">
      <w:start w:val="1"/>
      <w:numFmt w:val="lowerRoman"/>
      <w:lvlText w:val="(%6)"/>
      <w:lvlJc w:val="left"/>
      <w:pPr>
        <w:ind w:left="2380" w:hanging="360"/>
      </w:pPr>
      <w:rPr>
        <w:rFonts w:hint="default"/>
      </w:rPr>
    </w:lvl>
    <w:lvl w:ilvl="6">
      <w:start w:val="1"/>
      <w:numFmt w:val="decimal"/>
      <w:lvlText w:val="%7."/>
      <w:lvlJc w:val="left"/>
      <w:pPr>
        <w:ind w:left="2740" w:hanging="360"/>
      </w:pPr>
      <w:rPr>
        <w:rFonts w:hint="default"/>
      </w:rPr>
    </w:lvl>
    <w:lvl w:ilvl="7">
      <w:start w:val="1"/>
      <w:numFmt w:val="lowerLetter"/>
      <w:lvlText w:val="%8."/>
      <w:lvlJc w:val="left"/>
      <w:pPr>
        <w:ind w:left="3100" w:hanging="360"/>
      </w:pPr>
      <w:rPr>
        <w:rFonts w:hint="default"/>
      </w:rPr>
    </w:lvl>
    <w:lvl w:ilvl="8">
      <w:start w:val="1"/>
      <w:numFmt w:val="lowerRoman"/>
      <w:lvlText w:val="%9."/>
      <w:lvlJc w:val="left"/>
      <w:pPr>
        <w:ind w:left="3460" w:hanging="360"/>
      </w:pPr>
      <w:rPr>
        <w:rFonts w:hint="default"/>
      </w:rPr>
    </w:lvl>
  </w:abstractNum>
  <w:abstractNum w:abstractNumId="13">
    <w:nsid w:val="7BE24DB6"/>
    <w:multiLevelType w:val="hybridMultilevel"/>
    <w:tmpl w:val="127A45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4"/>
  </w:num>
  <w:num w:numId="6">
    <w:abstractNumId w:val="11"/>
  </w:num>
  <w:num w:numId="7">
    <w:abstractNumId w:val="2"/>
  </w:num>
  <w:num w:numId="8">
    <w:abstractNumId w:val="12"/>
  </w:num>
  <w:num w:numId="9">
    <w:abstractNumId w:val="0"/>
  </w:num>
  <w:num w:numId="10">
    <w:abstractNumId w:val="1"/>
  </w:num>
  <w:num w:numId="11">
    <w:abstractNumId w:val="10"/>
  </w:num>
  <w:num w:numId="12">
    <w:abstractNumId w:val="8"/>
  </w:num>
  <w:num w:numId="13">
    <w:abstractNumId w:val="5"/>
  </w:num>
  <w:num w:numId="14">
    <w:abstractNumId w:val="13"/>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34"/>
    <w:rsid w:val="000028CF"/>
    <w:rsid w:val="000109DB"/>
    <w:rsid w:val="00010F06"/>
    <w:rsid w:val="00017670"/>
    <w:rsid w:val="000211B7"/>
    <w:rsid w:val="00022074"/>
    <w:rsid w:val="0003753D"/>
    <w:rsid w:val="00042E23"/>
    <w:rsid w:val="00057CD2"/>
    <w:rsid w:val="000601C3"/>
    <w:rsid w:val="00063E1A"/>
    <w:rsid w:val="00077A97"/>
    <w:rsid w:val="000843BE"/>
    <w:rsid w:val="0008567D"/>
    <w:rsid w:val="00096BD9"/>
    <w:rsid w:val="000A0DE0"/>
    <w:rsid w:val="000A7634"/>
    <w:rsid w:val="000B1979"/>
    <w:rsid w:val="000B252B"/>
    <w:rsid w:val="000E3737"/>
    <w:rsid w:val="000E47BD"/>
    <w:rsid w:val="000F0F94"/>
    <w:rsid w:val="00102152"/>
    <w:rsid w:val="00104AAA"/>
    <w:rsid w:val="00106752"/>
    <w:rsid w:val="00107A9F"/>
    <w:rsid w:val="00112390"/>
    <w:rsid w:val="0012125A"/>
    <w:rsid w:val="001257D2"/>
    <w:rsid w:val="00136E52"/>
    <w:rsid w:val="00140B09"/>
    <w:rsid w:val="00142C1E"/>
    <w:rsid w:val="00150876"/>
    <w:rsid w:val="00162C64"/>
    <w:rsid w:val="00170FF6"/>
    <w:rsid w:val="001808A7"/>
    <w:rsid w:val="001923A1"/>
    <w:rsid w:val="0019514B"/>
    <w:rsid w:val="001A2D34"/>
    <w:rsid w:val="001A3CE7"/>
    <w:rsid w:val="001D1CA9"/>
    <w:rsid w:val="001F06F6"/>
    <w:rsid w:val="001F281A"/>
    <w:rsid w:val="001F2F26"/>
    <w:rsid w:val="00204A48"/>
    <w:rsid w:val="00211376"/>
    <w:rsid w:val="00212A70"/>
    <w:rsid w:val="00213B4B"/>
    <w:rsid w:val="00222868"/>
    <w:rsid w:val="00237293"/>
    <w:rsid w:val="00241E55"/>
    <w:rsid w:val="00245217"/>
    <w:rsid w:val="002617E1"/>
    <w:rsid w:val="00261F46"/>
    <w:rsid w:val="00263E20"/>
    <w:rsid w:val="00270C56"/>
    <w:rsid w:val="00280E12"/>
    <w:rsid w:val="002B534F"/>
    <w:rsid w:val="002C1FDE"/>
    <w:rsid w:val="002C48C1"/>
    <w:rsid w:val="002E621A"/>
    <w:rsid w:val="002F07EA"/>
    <w:rsid w:val="002F181B"/>
    <w:rsid w:val="002F3C38"/>
    <w:rsid w:val="00306313"/>
    <w:rsid w:val="00306426"/>
    <w:rsid w:val="00306F2E"/>
    <w:rsid w:val="00315717"/>
    <w:rsid w:val="00320247"/>
    <w:rsid w:val="00344790"/>
    <w:rsid w:val="0034633C"/>
    <w:rsid w:val="00354174"/>
    <w:rsid w:val="003620E8"/>
    <w:rsid w:val="00375CB0"/>
    <w:rsid w:val="00383BF1"/>
    <w:rsid w:val="00387E78"/>
    <w:rsid w:val="0039008E"/>
    <w:rsid w:val="00397A09"/>
    <w:rsid w:val="003A1D2C"/>
    <w:rsid w:val="003B44C8"/>
    <w:rsid w:val="003B60A8"/>
    <w:rsid w:val="003C60B5"/>
    <w:rsid w:val="003E32FB"/>
    <w:rsid w:val="003E70C0"/>
    <w:rsid w:val="003F5415"/>
    <w:rsid w:val="0041408D"/>
    <w:rsid w:val="0042099E"/>
    <w:rsid w:val="00452D6F"/>
    <w:rsid w:val="004532C8"/>
    <w:rsid w:val="00456BD6"/>
    <w:rsid w:val="004571A4"/>
    <w:rsid w:val="00462A25"/>
    <w:rsid w:val="00470ACD"/>
    <w:rsid w:val="00474E46"/>
    <w:rsid w:val="00491890"/>
    <w:rsid w:val="004A5C2A"/>
    <w:rsid w:val="004C3C2D"/>
    <w:rsid w:val="004C60D5"/>
    <w:rsid w:val="004C7692"/>
    <w:rsid w:val="004D4F31"/>
    <w:rsid w:val="0052119F"/>
    <w:rsid w:val="005241C1"/>
    <w:rsid w:val="00527CA2"/>
    <w:rsid w:val="00540F1A"/>
    <w:rsid w:val="0054718E"/>
    <w:rsid w:val="0055012D"/>
    <w:rsid w:val="00555D3F"/>
    <w:rsid w:val="00562141"/>
    <w:rsid w:val="0057448D"/>
    <w:rsid w:val="005758B6"/>
    <w:rsid w:val="005818A0"/>
    <w:rsid w:val="00583A7E"/>
    <w:rsid w:val="00584E61"/>
    <w:rsid w:val="005855C0"/>
    <w:rsid w:val="005978CD"/>
    <w:rsid w:val="005B7977"/>
    <w:rsid w:val="005C12F5"/>
    <w:rsid w:val="005C3AE3"/>
    <w:rsid w:val="005C5127"/>
    <w:rsid w:val="005D2804"/>
    <w:rsid w:val="005D3E22"/>
    <w:rsid w:val="005D65B0"/>
    <w:rsid w:val="00606387"/>
    <w:rsid w:val="006107AE"/>
    <w:rsid w:val="0061510F"/>
    <w:rsid w:val="0062161B"/>
    <w:rsid w:val="006216B5"/>
    <w:rsid w:val="00644C69"/>
    <w:rsid w:val="00646579"/>
    <w:rsid w:val="0065548A"/>
    <w:rsid w:val="00661A6E"/>
    <w:rsid w:val="00672B3F"/>
    <w:rsid w:val="00691E38"/>
    <w:rsid w:val="006A5D52"/>
    <w:rsid w:val="006A7886"/>
    <w:rsid w:val="006B4F0C"/>
    <w:rsid w:val="006B56C8"/>
    <w:rsid w:val="006D24AC"/>
    <w:rsid w:val="006D6642"/>
    <w:rsid w:val="006E66B2"/>
    <w:rsid w:val="006F40E8"/>
    <w:rsid w:val="006F505C"/>
    <w:rsid w:val="007017E1"/>
    <w:rsid w:val="0070319D"/>
    <w:rsid w:val="007142FB"/>
    <w:rsid w:val="00760876"/>
    <w:rsid w:val="00765564"/>
    <w:rsid w:val="007658F2"/>
    <w:rsid w:val="0077251A"/>
    <w:rsid w:val="007752BC"/>
    <w:rsid w:val="0079229B"/>
    <w:rsid w:val="007935AF"/>
    <w:rsid w:val="00797596"/>
    <w:rsid w:val="007A458F"/>
    <w:rsid w:val="007C0D86"/>
    <w:rsid w:val="007C51F1"/>
    <w:rsid w:val="007D2B83"/>
    <w:rsid w:val="007D7401"/>
    <w:rsid w:val="007E2549"/>
    <w:rsid w:val="007F17E2"/>
    <w:rsid w:val="00813BBB"/>
    <w:rsid w:val="008175C6"/>
    <w:rsid w:val="00846093"/>
    <w:rsid w:val="00861739"/>
    <w:rsid w:val="008700DC"/>
    <w:rsid w:val="008715AB"/>
    <w:rsid w:val="00882427"/>
    <w:rsid w:val="008B1C3C"/>
    <w:rsid w:val="008C76C4"/>
    <w:rsid w:val="008D471D"/>
    <w:rsid w:val="008D4EDD"/>
    <w:rsid w:val="008D5ACC"/>
    <w:rsid w:val="008D630C"/>
    <w:rsid w:val="008E31A3"/>
    <w:rsid w:val="008E65A1"/>
    <w:rsid w:val="008E780F"/>
    <w:rsid w:val="00900A01"/>
    <w:rsid w:val="00905F81"/>
    <w:rsid w:val="00906E1B"/>
    <w:rsid w:val="00907207"/>
    <w:rsid w:val="00907F45"/>
    <w:rsid w:val="00933800"/>
    <w:rsid w:val="00937E31"/>
    <w:rsid w:val="00954C36"/>
    <w:rsid w:val="009872CA"/>
    <w:rsid w:val="00987EA3"/>
    <w:rsid w:val="009A77F1"/>
    <w:rsid w:val="009A7BDB"/>
    <w:rsid w:val="009C1B1D"/>
    <w:rsid w:val="009C5159"/>
    <w:rsid w:val="009E7F37"/>
    <w:rsid w:val="00A031F4"/>
    <w:rsid w:val="00A07768"/>
    <w:rsid w:val="00A14413"/>
    <w:rsid w:val="00A24C20"/>
    <w:rsid w:val="00A50325"/>
    <w:rsid w:val="00A621F6"/>
    <w:rsid w:val="00A63CCC"/>
    <w:rsid w:val="00A741C9"/>
    <w:rsid w:val="00A75749"/>
    <w:rsid w:val="00A838F4"/>
    <w:rsid w:val="00A8746B"/>
    <w:rsid w:val="00A95003"/>
    <w:rsid w:val="00AA474D"/>
    <w:rsid w:val="00AC4A03"/>
    <w:rsid w:val="00AD1CEF"/>
    <w:rsid w:val="00AD4B7C"/>
    <w:rsid w:val="00AD527F"/>
    <w:rsid w:val="00AD6702"/>
    <w:rsid w:val="00AE4281"/>
    <w:rsid w:val="00AF6EA5"/>
    <w:rsid w:val="00B068A0"/>
    <w:rsid w:val="00B231C6"/>
    <w:rsid w:val="00B30A4F"/>
    <w:rsid w:val="00B758CA"/>
    <w:rsid w:val="00B84D2C"/>
    <w:rsid w:val="00BB1756"/>
    <w:rsid w:val="00BB2041"/>
    <w:rsid w:val="00BB689B"/>
    <w:rsid w:val="00BC23D1"/>
    <w:rsid w:val="00BF4A0F"/>
    <w:rsid w:val="00C17660"/>
    <w:rsid w:val="00C26858"/>
    <w:rsid w:val="00C33263"/>
    <w:rsid w:val="00C4641E"/>
    <w:rsid w:val="00C533E6"/>
    <w:rsid w:val="00C56180"/>
    <w:rsid w:val="00C67BF2"/>
    <w:rsid w:val="00C91165"/>
    <w:rsid w:val="00C91835"/>
    <w:rsid w:val="00CA11FF"/>
    <w:rsid w:val="00CA16F1"/>
    <w:rsid w:val="00CA75D3"/>
    <w:rsid w:val="00CE4480"/>
    <w:rsid w:val="00CF31A9"/>
    <w:rsid w:val="00D040B0"/>
    <w:rsid w:val="00D2070F"/>
    <w:rsid w:val="00D20DBA"/>
    <w:rsid w:val="00D2148A"/>
    <w:rsid w:val="00D23C5B"/>
    <w:rsid w:val="00D47720"/>
    <w:rsid w:val="00D50943"/>
    <w:rsid w:val="00D72538"/>
    <w:rsid w:val="00D73575"/>
    <w:rsid w:val="00D75D8B"/>
    <w:rsid w:val="00D920AF"/>
    <w:rsid w:val="00DA054F"/>
    <w:rsid w:val="00DB16A9"/>
    <w:rsid w:val="00DB5F4D"/>
    <w:rsid w:val="00DC5A30"/>
    <w:rsid w:val="00DF219D"/>
    <w:rsid w:val="00E05748"/>
    <w:rsid w:val="00E05E25"/>
    <w:rsid w:val="00E12967"/>
    <w:rsid w:val="00E2524E"/>
    <w:rsid w:val="00E340F3"/>
    <w:rsid w:val="00E57347"/>
    <w:rsid w:val="00E83797"/>
    <w:rsid w:val="00E93515"/>
    <w:rsid w:val="00EA1B94"/>
    <w:rsid w:val="00EB3D4C"/>
    <w:rsid w:val="00EB5AD1"/>
    <w:rsid w:val="00EC1342"/>
    <w:rsid w:val="00EC395F"/>
    <w:rsid w:val="00EE19FD"/>
    <w:rsid w:val="00EE3953"/>
    <w:rsid w:val="00F01E6F"/>
    <w:rsid w:val="00F05092"/>
    <w:rsid w:val="00F108F5"/>
    <w:rsid w:val="00F20294"/>
    <w:rsid w:val="00F266ED"/>
    <w:rsid w:val="00F31CD2"/>
    <w:rsid w:val="00F3421B"/>
    <w:rsid w:val="00F41D57"/>
    <w:rsid w:val="00F4789D"/>
    <w:rsid w:val="00F6273F"/>
    <w:rsid w:val="00F75E68"/>
    <w:rsid w:val="00F761E0"/>
    <w:rsid w:val="00F82A47"/>
    <w:rsid w:val="00F84D9B"/>
    <w:rsid w:val="00F97831"/>
    <w:rsid w:val="00FA2F19"/>
    <w:rsid w:val="00FA500F"/>
    <w:rsid w:val="00FB758E"/>
    <w:rsid w:val="00FC4C5F"/>
    <w:rsid w:val="00FC7159"/>
    <w:rsid w:val="00FD77F0"/>
    <w:rsid w:val="00FE5B89"/>
    <w:rsid w:val="00FF23AF"/>
    <w:rsid w:val="00FF6F4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EF1F5D8-8466-4EE9-AE0F-991425F5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1A4"/>
    <w:pPr>
      <w:jc w:val="both"/>
    </w:pPr>
    <w:rPr>
      <w:rFonts w:asciiTheme="minorHAnsi" w:eastAsia="Bitstream Vera Sans" w:hAnsiTheme="minorHAnsi"/>
      <w:sz w:val="22"/>
      <w:lang w:val="en-US"/>
    </w:rPr>
  </w:style>
  <w:style w:type="paragraph" w:styleId="Heading1">
    <w:name w:val="heading 1"/>
    <w:basedOn w:val="Normal"/>
    <w:next w:val="Normal"/>
    <w:link w:val="Heading1Char"/>
    <w:autoRedefine/>
    <w:uiPriority w:val="9"/>
    <w:qFormat/>
    <w:rsid w:val="001F2F26"/>
    <w:pPr>
      <w:shd w:val="clear" w:color="auto" w:fill="95B3D7" w:themeFill="accent1" w:themeFillTint="99"/>
      <w:tabs>
        <w:tab w:val="left" w:pos="7188"/>
      </w:tabs>
      <w:jc w:val="left"/>
      <w:outlineLvl w:val="0"/>
    </w:pPr>
    <w:rPr>
      <w:rFonts w:eastAsiaTheme="majorEastAsia" w:cstheme="majorBidi"/>
      <w:b/>
      <w:bCs/>
      <w:sz w:val="24"/>
      <w:szCs w:val="24"/>
    </w:rPr>
  </w:style>
  <w:style w:type="paragraph" w:styleId="Heading2">
    <w:name w:val="heading 2"/>
    <w:basedOn w:val="Normal"/>
    <w:next w:val="Normal"/>
    <w:link w:val="Heading2Char"/>
    <w:autoRedefine/>
    <w:uiPriority w:val="9"/>
    <w:unhideWhenUsed/>
    <w:qFormat/>
    <w:rsid w:val="00FC7159"/>
    <w:pPr>
      <w:keepNext/>
      <w:keepLines/>
      <w:spacing w:before="120"/>
      <w:outlineLvl w:val="1"/>
    </w:pPr>
    <w:rPr>
      <w:rFonts w:eastAsiaTheme="majorEastAsia" w:cstheme="majorBidi"/>
      <w:b/>
      <w:bCs/>
      <w:color w:val="17365D" w:themeColor="text2"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styleId="BodyText">
    <w:name w:val="Body Text"/>
    <w:basedOn w:val="Normal"/>
    <w:pPr>
      <w:spacing w:after="120"/>
    </w:pPr>
  </w:style>
  <w:style w:type="paragraph" w:styleId="List">
    <w:name w:val="List"/>
    <w:basedOn w:val="BodyText"/>
    <w:rPr>
      <w:rFonts w:cs="Lucidasans"/>
    </w:rPr>
  </w:style>
  <w:style w:type="paragraph" w:styleId="Caption">
    <w:name w:val="caption"/>
    <w:basedOn w:val="Normal"/>
    <w:qFormat/>
    <w:pPr>
      <w:suppressLineNumbers/>
      <w:spacing w:before="120" w:after="120"/>
    </w:pPr>
    <w:rPr>
      <w:rFonts w:cs="Lucidasans"/>
      <w:i/>
      <w:iCs/>
      <w:sz w:val="20"/>
    </w:rPr>
  </w:style>
  <w:style w:type="paragraph" w:customStyle="1" w:styleId="Index">
    <w:name w:val="Index"/>
    <w:basedOn w:val="Normal"/>
    <w:pPr>
      <w:suppressLineNumbers/>
    </w:pPr>
    <w:rPr>
      <w:rFonts w:cs="Lucidasans"/>
    </w:rPr>
  </w:style>
  <w:style w:type="paragraph" w:customStyle="1" w:styleId="Heading">
    <w:name w:val="Heading"/>
    <w:basedOn w:val="Normal"/>
    <w:next w:val="BodyText"/>
    <w:rsid w:val="004571A4"/>
    <w:pPr>
      <w:keepNext/>
      <w:spacing w:before="240" w:after="120"/>
    </w:pPr>
    <w:rPr>
      <w:rFonts w:eastAsia="MS Mincho" w:cs="Lucidasans"/>
      <w:szCs w:val="28"/>
    </w:rPr>
  </w:style>
  <w:style w:type="paragraph" w:styleId="Header">
    <w:name w:val="header"/>
    <w:basedOn w:val="Normal"/>
    <w:link w:val="HeaderChar"/>
    <w:uiPriority w:val="99"/>
    <w:unhideWhenUsed/>
    <w:rsid w:val="00E340F3"/>
    <w:pPr>
      <w:tabs>
        <w:tab w:val="center" w:pos="4513"/>
        <w:tab w:val="right" w:pos="9026"/>
      </w:tabs>
    </w:pPr>
  </w:style>
  <w:style w:type="character" w:customStyle="1" w:styleId="HeaderChar">
    <w:name w:val="Header Char"/>
    <w:link w:val="Header"/>
    <w:uiPriority w:val="99"/>
    <w:rsid w:val="00E340F3"/>
    <w:rPr>
      <w:rFonts w:ascii="Helvetica" w:eastAsia="Bitstream Vera Sans" w:hAnsi="Helvetica"/>
      <w:sz w:val="24"/>
      <w:lang w:val="en-US"/>
    </w:rPr>
  </w:style>
  <w:style w:type="paragraph" w:styleId="Footer">
    <w:name w:val="footer"/>
    <w:basedOn w:val="Normal"/>
    <w:link w:val="FooterChar"/>
    <w:uiPriority w:val="99"/>
    <w:unhideWhenUsed/>
    <w:rsid w:val="00E340F3"/>
    <w:pPr>
      <w:tabs>
        <w:tab w:val="center" w:pos="4513"/>
        <w:tab w:val="right" w:pos="9026"/>
      </w:tabs>
    </w:pPr>
  </w:style>
  <w:style w:type="character" w:customStyle="1" w:styleId="FooterChar">
    <w:name w:val="Footer Char"/>
    <w:link w:val="Footer"/>
    <w:uiPriority w:val="99"/>
    <w:rsid w:val="00E340F3"/>
    <w:rPr>
      <w:rFonts w:ascii="Helvetica" w:eastAsia="Bitstream Vera Sans" w:hAnsi="Helvetica"/>
      <w:sz w:val="24"/>
      <w:lang w:val="en-US"/>
    </w:rPr>
  </w:style>
  <w:style w:type="paragraph" w:styleId="BalloonText">
    <w:name w:val="Balloon Text"/>
    <w:basedOn w:val="Normal"/>
    <w:link w:val="BalloonTextChar"/>
    <w:uiPriority w:val="99"/>
    <w:semiHidden/>
    <w:unhideWhenUsed/>
    <w:rsid w:val="006B56C8"/>
    <w:rPr>
      <w:rFonts w:ascii="Tahoma" w:hAnsi="Tahoma" w:cs="Tahoma"/>
      <w:sz w:val="16"/>
      <w:szCs w:val="16"/>
    </w:rPr>
  </w:style>
  <w:style w:type="character" w:customStyle="1" w:styleId="BalloonTextChar">
    <w:name w:val="Balloon Text Char"/>
    <w:basedOn w:val="DefaultParagraphFont"/>
    <w:link w:val="BalloonText"/>
    <w:uiPriority w:val="99"/>
    <w:semiHidden/>
    <w:rsid w:val="006B56C8"/>
    <w:rPr>
      <w:rFonts w:ascii="Tahoma" w:eastAsia="Bitstream Vera Sans" w:hAnsi="Tahoma" w:cs="Tahoma"/>
      <w:sz w:val="16"/>
      <w:szCs w:val="16"/>
      <w:lang w:val="en-US"/>
    </w:rPr>
  </w:style>
  <w:style w:type="character" w:customStyle="1" w:styleId="Heading1Char">
    <w:name w:val="Heading 1 Char"/>
    <w:basedOn w:val="DefaultParagraphFont"/>
    <w:link w:val="Heading1"/>
    <w:uiPriority w:val="9"/>
    <w:rsid w:val="001F2F26"/>
    <w:rPr>
      <w:rFonts w:asciiTheme="minorHAnsi" w:eastAsiaTheme="majorEastAsia" w:hAnsiTheme="minorHAnsi" w:cstheme="majorBidi"/>
      <w:b/>
      <w:bCs/>
      <w:sz w:val="24"/>
      <w:szCs w:val="24"/>
      <w:shd w:val="clear" w:color="auto" w:fill="95B3D7" w:themeFill="accent1" w:themeFillTint="99"/>
      <w:lang w:val="en-US"/>
    </w:rPr>
  </w:style>
  <w:style w:type="paragraph" w:styleId="NoSpacing">
    <w:name w:val="No Spacing"/>
    <w:uiPriority w:val="1"/>
    <w:qFormat/>
    <w:rsid w:val="004571A4"/>
    <w:pPr>
      <w:widowControl w:val="0"/>
      <w:suppressAutoHyphens/>
      <w:jc w:val="right"/>
    </w:pPr>
    <w:rPr>
      <w:rFonts w:ascii="Helvetica" w:eastAsia="Bitstream Vera Sans" w:hAnsi="Helvetica"/>
      <w:lang w:val="en-US"/>
    </w:rPr>
  </w:style>
  <w:style w:type="paragraph" w:styleId="NormalWeb">
    <w:name w:val="Normal (Web)"/>
    <w:basedOn w:val="Normal"/>
    <w:uiPriority w:val="99"/>
    <w:unhideWhenUsed/>
    <w:rsid w:val="00280E12"/>
    <w:pPr>
      <w:spacing w:before="100" w:beforeAutospacing="1" w:after="100" w:afterAutospacing="1"/>
    </w:pPr>
    <w:rPr>
      <w:rFonts w:ascii="Times New Roman" w:eastAsia="Times New Roman" w:hAnsi="Times New Roman"/>
      <w:szCs w:val="24"/>
      <w:lang w:val="en-NZ"/>
    </w:rPr>
  </w:style>
  <w:style w:type="character" w:customStyle="1" w:styleId="Heading2Char">
    <w:name w:val="Heading 2 Char"/>
    <w:basedOn w:val="DefaultParagraphFont"/>
    <w:link w:val="Heading2"/>
    <w:uiPriority w:val="9"/>
    <w:rsid w:val="00FC7159"/>
    <w:rPr>
      <w:rFonts w:asciiTheme="minorHAnsi" w:eastAsiaTheme="majorEastAsia" w:hAnsiTheme="minorHAnsi" w:cstheme="majorBidi"/>
      <w:b/>
      <w:bCs/>
      <w:color w:val="17365D" w:themeColor="text2" w:themeShade="BF"/>
      <w:sz w:val="22"/>
      <w:szCs w:val="26"/>
      <w:lang w:val="en-US"/>
    </w:rPr>
  </w:style>
  <w:style w:type="character" w:styleId="CommentReference">
    <w:name w:val="annotation reference"/>
    <w:basedOn w:val="DefaultParagraphFont"/>
    <w:uiPriority w:val="99"/>
    <w:semiHidden/>
    <w:unhideWhenUsed/>
    <w:rsid w:val="00AF6EA5"/>
    <w:rPr>
      <w:sz w:val="18"/>
      <w:szCs w:val="18"/>
    </w:rPr>
  </w:style>
  <w:style w:type="paragraph" w:styleId="CommentText">
    <w:name w:val="annotation text"/>
    <w:basedOn w:val="Normal"/>
    <w:link w:val="CommentTextChar"/>
    <w:uiPriority w:val="99"/>
    <w:semiHidden/>
    <w:unhideWhenUsed/>
    <w:rsid w:val="00AF6EA5"/>
    <w:rPr>
      <w:szCs w:val="24"/>
    </w:rPr>
  </w:style>
  <w:style w:type="character" w:customStyle="1" w:styleId="CommentTextChar">
    <w:name w:val="Comment Text Char"/>
    <w:basedOn w:val="DefaultParagraphFont"/>
    <w:link w:val="CommentText"/>
    <w:uiPriority w:val="99"/>
    <w:semiHidden/>
    <w:rsid w:val="00AF6EA5"/>
    <w:rPr>
      <w:rFonts w:ascii="Helvetica" w:eastAsia="Bitstream Vera Sans" w:hAnsi="Helvetica"/>
      <w:sz w:val="24"/>
      <w:szCs w:val="24"/>
      <w:lang w:val="en-US"/>
    </w:rPr>
  </w:style>
  <w:style w:type="paragraph" w:styleId="CommentSubject">
    <w:name w:val="annotation subject"/>
    <w:basedOn w:val="CommentText"/>
    <w:next w:val="CommentText"/>
    <w:link w:val="CommentSubjectChar"/>
    <w:uiPriority w:val="99"/>
    <w:semiHidden/>
    <w:unhideWhenUsed/>
    <w:rsid w:val="00AF6EA5"/>
    <w:rPr>
      <w:b/>
      <w:bCs/>
      <w:sz w:val="20"/>
      <w:szCs w:val="20"/>
    </w:rPr>
  </w:style>
  <w:style w:type="character" w:customStyle="1" w:styleId="CommentSubjectChar">
    <w:name w:val="Comment Subject Char"/>
    <w:basedOn w:val="CommentTextChar"/>
    <w:link w:val="CommentSubject"/>
    <w:uiPriority w:val="99"/>
    <w:semiHidden/>
    <w:rsid w:val="00AF6EA5"/>
    <w:rPr>
      <w:rFonts w:ascii="Helvetica" w:eastAsia="Bitstream Vera Sans" w:hAnsi="Helvetica"/>
      <w:b/>
      <w:bCs/>
      <w:sz w:val="24"/>
      <w:szCs w:val="24"/>
      <w:lang w:val="en-US"/>
    </w:rPr>
  </w:style>
  <w:style w:type="character" w:styleId="PageNumber">
    <w:name w:val="page number"/>
    <w:basedOn w:val="DefaultParagraphFont"/>
    <w:uiPriority w:val="99"/>
    <w:semiHidden/>
    <w:unhideWhenUsed/>
    <w:rsid w:val="00077A97"/>
  </w:style>
  <w:style w:type="paragraph" w:styleId="ListParagraph">
    <w:name w:val="List Paragraph"/>
    <w:basedOn w:val="Normal"/>
    <w:link w:val="ListParagraphChar"/>
    <w:uiPriority w:val="34"/>
    <w:qFormat/>
    <w:rsid w:val="002B534F"/>
    <w:pPr>
      <w:ind w:left="720"/>
      <w:contextualSpacing/>
    </w:pPr>
  </w:style>
  <w:style w:type="paragraph" w:styleId="FootnoteText">
    <w:name w:val="footnote text"/>
    <w:basedOn w:val="Normal"/>
    <w:link w:val="FootnoteTextChar"/>
    <w:uiPriority w:val="99"/>
    <w:semiHidden/>
    <w:unhideWhenUsed/>
    <w:rsid w:val="00EE19FD"/>
    <w:rPr>
      <w:sz w:val="20"/>
    </w:rPr>
  </w:style>
  <w:style w:type="character" w:customStyle="1" w:styleId="FootnoteTextChar">
    <w:name w:val="Footnote Text Char"/>
    <w:basedOn w:val="DefaultParagraphFont"/>
    <w:link w:val="FootnoteText"/>
    <w:uiPriority w:val="99"/>
    <w:semiHidden/>
    <w:rsid w:val="00EE19FD"/>
    <w:rPr>
      <w:rFonts w:ascii="Helvetica" w:eastAsia="Bitstream Vera Sans" w:hAnsi="Helvetica"/>
      <w:lang w:val="en-US"/>
    </w:rPr>
  </w:style>
  <w:style w:type="character" w:styleId="FootnoteReference">
    <w:name w:val="footnote reference"/>
    <w:basedOn w:val="DefaultParagraphFont"/>
    <w:uiPriority w:val="99"/>
    <w:semiHidden/>
    <w:unhideWhenUsed/>
    <w:rsid w:val="00EE19FD"/>
    <w:rPr>
      <w:vertAlign w:val="superscript"/>
    </w:rPr>
  </w:style>
  <w:style w:type="character" w:styleId="FollowedHyperlink">
    <w:name w:val="FollowedHyperlink"/>
    <w:basedOn w:val="DefaultParagraphFont"/>
    <w:uiPriority w:val="99"/>
    <w:semiHidden/>
    <w:unhideWhenUsed/>
    <w:rsid w:val="002F07EA"/>
    <w:rPr>
      <w:color w:val="800080" w:themeColor="followedHyperlink"/>
      <w:u w:val="single"/>
    </w:rPr>
  </w:style>
  <w:style w:type="table" w:styleId="TableGrid">
    <w:name w:val="Table Grid"/>
    <w:basedOn w:val="TableNormal"/>
    <w:uiPriority w:val="59"/>
    <w:rsid w:val="00954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13B4B"/>
    <w:pPr>
      <w:jc w:val="left"/>
    </w:pPr>
    <w:rPr>
      <w:rFonts w:ascii="Consolas" w:eastAsiaTheme="minorHAnsi" w:hAnsi="Consolas" w:cs="Consolas"/>
      <w:sz w:val="21"/>
      <w:szCs w:val="21"/>
      <w:lang w:val="en-NZ"/>
    </w:rPr>
  </w:style>
  <w:style w:type="character" w:customStyle="1" w:styleId="PlainTextChar">
    <w:name w:val="Plain Text Char"/>
    <w:basedOn w:val="DefaultParagraphFont"/>
    <w:link w:val="PlainText"/>
    <w:uiPriority w:val="99"/>
    <w:rsid w:val="00213B4B"/>
    <w:rPr>
      <w:rFonts w:ascii="Consolas" w:eastAsiaTheme="minorHAnsi" w:hAnsi="Consolas" w:cs="Consolas"/>
      <w:sz w:val="21"/>
      <w:szCs w:val="21"/>
    </w:rPr>
  </w:style>
  <w:style w:type="character" w:customStyle="1" w:styleId="ListParagraphChar">
    <w:name w:val="List Paragraph Char"/>
    <w:basedOn w:val="DefaultParagraphFont"/>
    <w:link w:val="ListParagraph"/>
    <w:uiPriority w:val="34"/>
    <w:locked/>
    <w:rsid w:val="00213B4B"/>
    <w:rPr>
      <w:rFonts w:asciiTheme="minorHAnsi" w:eastAsia="Bitstream Vera Sans" w:hAnsiTheme="minorHAns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5336">
      <w:bodyDiv w:val="1"/>
      <w:marLeft w:val="0"/>
      <w:marRight w:val="0"/>
      <w:marTop w:val="0"/>
      <w:marBottom w:val="0"/>
      <w:divBdr>
        <w:top w:val="none" w:sz="0" w:space="0" w:color="auto"/>
        <w:left w:val="none" w:sz="0" w:space="0" w:color="auto"/>
        <w:bottom w:val="none" w:sz="0" w:space="0" w:color="auto"/>
        <w:right w:val="none" w:sz="0" w:space="0" w:color="auto"/>
      </w:divBdr>
    </w:div>
    <w:div w:id="500853869">
      <w:bodyDiv w:val="1"/>
      <w:marLeft w:val="0"/>
      <w:marRight w:val="0"/>
      <w:marTop w:val="0"/>
      <w:marBottom w:val="0"/>
      <w:divBdr>
        <w:top w:val="none" w:sz="0" w:space="0" w:color="auto"/>
        <w:left w:val="none" w:sz="0" w:space="0" w:color="auto"/>
        <w:bottom w:val="none" w:sz="0" w:space="0" w:color="auto"/>
        <w:right w:val="none" w:sz="0" w:space="0" w:color="auto"/>
      </w:divBdr>
    </w:div>
    <w:div w:id="931936876">
      <w:bodyDiv w:val="1"/>
      <w:marLeft w:val="0"/>
      <w:marRight w:val="0"/>
      <w:marTop w:val="0"/>
      <w:marBottom w:val="0"/>
      <w:divBdr>
        <w:top w:val="none" w:sz="0" w:space="0" w:color="auto"/>
        <w:left w:val="none" w:sz="0" w:space="0" w:color="auto"/>
        <w:bottom w:val="none" w:sz="0" w:space="0" w:color="auto"/>
        <w:right w:val="none" w:sz="0" w:space="0" w:color="auto"/>
      </w:divBdr>
    </w:div>
    <w:div w:id="1104694276">
      <w:bodyDiv w:val="1"/>
      <w:marLeft w:val="0"/>
      <w:marRight w:val="0"/>
      <w:marTop w:val="0"/>
      <w:marBottom w:val="0"/>
      <w:divBdr>
        <w:top w:val="none" w:sz="0" w:space="0" w:color="auto"/>
        <w:left w:val="none" w:sz="0" w:space="0" w:color="auto"/>
        <w:bottom w:val="none" w:sz="0" w:space="0" w:color="auto"/>
        <w:right w:val="none" w:sz="0" w:space="0" w:color="auto"/>
      </w:divBdr>
    </w:div>
    <w:div w:id="1250039876">
      <w:bodyDiv w:val="1"/>
      <w:marLeft w:val="0"/>
      <w:marRight w:val="0"/>
      <w:marTop w:val="0"/>
      <w:marBottom w:val="0"/>
      <w:divBdr>
        <w:top w:val="none" w:sz="0" w:space="0" w:color="auto"/>
        <w:left w:val="none" w:sz="0" w:space="0" w:color="auto"/>
        <w:bottom w:val="none" w:sz="0" w:space="0" w:color="auto"/>
        <w:right w:val="none" w:sz="0" w:space="0" w:color="auto"/>
      </w:divBdr>
    </w:div>
    <w:div w:id="1441147318">
      <w:bodyDiv w:val="1"/>
      <w:marLeft w:val="0"/>
      <w:marRight w:val="0"/>
      <w:marTop w:val="0"/>
      <w:marBottom w:val="0"/>
      <w:divBdr>
        <w:top w:val="none" w:sz="0" w:space="0" w:color="auto"/>
        <w:left w:val="none" w:sz="0" w:space="0" w:color="auto"/>
        <w:bottom w:val="none" w:sz="0" w:space="0" w:color="auto"/>
        <w:right w:val="none" w:sz="0" w:space="0" w:color="auto"/>
      </w:divBdr>
    </w:div>
    <w:div w:id="1658609858">
      <w:bodyDiv w:val="1"/>
      <w:marLeft w:val="0"/>
      <w:marRight w:val="0"/>
      <w:marTop w:val="0"/>
      <w:marBottom w:val="0"/>
      <w:divBdr>
        <w:top w:val="none" w:sz="0" w:space="0" w:color="auto"/>
        <w:left w:val="none" w:sz="0" w:space="0" w:color="auto"/>
        <w:bottom w:val="none" w:sz="0" w:space="0" w:color="auto"/>
        <w:right w:val="none" w:sz="0" w:space="0" w:color="auto"/>
      </w:divBdr>
    </w:div>
    <w:div w:id="1699161341">
      <w:bodyDiv w:val="1"/>
      <w:marLeft w:val="0"/>
      <w:marRight w:val="0"/>
      <w:marTop w:val="0"/>
      <w:marBottom w:val="0"/>
      <w:divBdr>
        <w:top w:val="none" w:sz="0" w:space="0" w:color="auto"/>
        <w:left w:val="none" w:sz="0" w:space="0" w:color="auto"/>
        <w:bottom w:val="none" w:sz="0" w:space="0" w:color="auto"/>
        <w:right w:val="none" w:sz="0" w:space="0" w:color="auto"/>
      </w:divBdr>
    </w:div>
    <w:div w:id="1898976676">
      <w:bodyDiv w:val="1"/>
      <w:marLeft w:val="0"/>
      <w:marRight w:val="0"/>
      <w:marTop w:val="0"/>
      <w:marBottom w:val="0"/>
      <w:divBdr>
        <w:top w:val="none" w:sz="0" w:space="0" w:color="auto"/>
        <w:left w:val="none" w:sz="0" w:space="0" w:color="auto"/>
        <w:bottom w:val="none" w:sz="0" w:space="0" w:color="auto"/>
        <w:right w:val="none" w:sz="0" w:space="0" w:color="auto"/>
      </w:divBdr>
    </w:div>
    <w:div w:id="1979604765">
      <w:bodyDiv w:val="1"/>
      <w:marLeft w:val="0"/>
      <w:marRight w:val="0"/>
      <w:marTop w:val="0"/>
      <w:marBottom w:val="0"/>
      <w:divBdr>
        <w:top w:val="none" w:sz="0" w:space="0" w:color="auto"/>
        <w:left w:val="none" w:sz="0" w:space="0" w:color="auto"/>
        <w:bottom w:val="none" w:sz="0" w:space="0" w:color="auto"/>
        <w:right w:val="none" w:sz="0" w:space="0" w:color="auto"/>
      </w:divBdr>
    </w:div>
    <w:div w:id="20718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s.govt.nz/browse_for_stats/population/estimates_and_projections/ta-pop-projections-2013-43-update.aspx" TargetMode="External"/><Relationship Id="rId5" Type="http://schemas.openxmlformats.org/officeDocument/2006/relationships/numbering" Target="numbering.xml"/><Relationship Id="rId15" Type="http://schemas.openxmlformats.org/officeDocument/2006/relationships/hyperlink" Target="http://www.stats.govt.nz/methods/classifications-and-standards/current-classifications-and-standards-review/stat-std-geo-areas-2015-17-review.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682253-585a-40bd-8281-436e38de85d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6CB1FFD449E643A2AED90D3C13C479" ma:contentTypeVersion="3" ma:contentTypeDescription="Create a new document." ma:contentTypeScope="" ma:versionID="f69b019f9d2cc4241e5baa9a28f2495c">
  <xsd:schema xmlns:xsd="http://www.w3.org/2001/XMLSchema" xmlns:xs="http://www.w3.org/2001/XMLSchema" xmlns:p="http://schemas.microsoft.com/office/2006/metadata/properties" xmlns:ns2="36682253-585a-40bd-8281-436e38de85da" targetNamespace="http://schemas.microsoft.com/office/2006/metadata/properties" ma:root="true" ma:fieldsID="ac4ec1212e80289fd7fce3c1deaae973" ns2:_="">
    <xsd:import namespace="36682253-585a-40bd-8281-436e38de85d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82253-585a-40bd-8281-436e38de85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9420-FFA7-45DF-A4AD-25F9028C4829}">
  <ds:schemaRef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36682253-585a-40bd-8281-436e38de85da"/>
    <ds:schemaRef ds:uri="http://purl.org/dc/dcmitype/"/>
  </ds:schemaRefs>
</ds:datastoreItem>
</file>

<file path=customXml/itemProps2.xml><?xml version="1.0" encoding="utf-8"?>
<ds:datastoreItem xmlns:ds="http://schemas.openxmlformats.org/officeDocument/2006/customXml" ds:itemID="{26C472E5-2A1F-418F-9EF6-3DE1CB58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82253-585a-40bd-8281-436e38de8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D3181-94DE-4B58-B8C0-72FFAA12B516}">
  <ds:schemaRefs>
    <ds:schemaRef ds:uri="http://schemas.microsoft.com/sharepoint/v3/contenttype/forms"/>
  </ds:schemaRefs>
</ds:datastoreItem>
</file>

<file path=customXml/itemProps4.xml><?xml version="1.0" encoding="utf-8"?>
<ds:datastoreItem xmlns:ds="http://schemas.openxmlformats.org/officeDocument/2006/customXml" ds:itemID="{9F576B4A-6C10-4449-9237-5967F9E1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F3978458</Template>
  <TotalTime>0</TotalTime>
  <Pages>6</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15  10  2004</vt:lpstr>
    </vt:vector>
  </TitlesOfParts>
  <Company>Zero Waste New Zealand Limited</Company>
  <LinksUpToDate>false</LinksUpToDate>
  <CharactersWithSpaces>10610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15  10  2004</dc:title>
  <dc:creator>Julie Dickinson</dc:creator>
  <cp:lastModifiedBy>Beat Huser</cp:lastModifiedBy>
  <cp:revision>2</cp:revision>
  <cp:lastPrinted>2017-04-04T23:27:00Z</cp:lastPrinted>
  <dcterms:created xsi:type="dcterms:W3CDTF">2017-04-04T23:57:00Z</dcterms:created>
  <dcterms:modified xsi:type="dcterms:W3CDTF">2017-04-04T23:57:00Z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0x010100B06CB1FFD449E643A2AED90D3C13C479</vt:lpwstr>
  </property>
</Properties>
</file>